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DOCUMENT 03 — RED-FLAG AND APPROVAL MEMORANDUM</w:t>
      </w:r>
    </w:p>
    <w:p>
      <w:pPr>
        <w:jc w:val="center"/>
      </w:pPr>
      <w:r>
        <w:rPr>
          <w:b/>
          <w:color w:val="1F3864"/>
          <w:sz w:val="48"/>
        </w:rPr>
        <w:t>Red-Flag and Approval Memorandum</w:t>
      </w:r>
    </w:p>
    <w:p>
      <w:pPr>
        <w:jc w:val="center"/>
      </w:pPr>
      <w:r>
        <w:rPr>
          <w:color w:val="595959"/>
          <w:sz w:val="28"/>
        </w:rPr>
        <w:t>Phase 1 Diligence — Issues That Could Prevent or Delay the Transaction</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pPr>
        <w:pStyle w:val="Heading1"/>
        <w:spacing w:before="240" w:after="120"/>
      </w:pPr>
      <w:r>
        <w:rPr>
          <w:rFonts w:ascii="Calibri" w:hAnsi="Calibri"/>
          <w:b/>
          <w:color w:val="1F3864"/>
          <w:sz w:val="26"/>
        </w:rPr>
        <w:t>ARTICLE 1.  PURPOSE</w:t>
      </w:r>
    </w:p>
    <w:p>
      <w:r>
        <w:rPr>
          <w:b w:val="0"/>
          <w:i w:val="0"/>
        </w:rPr>
        <w:t>This memorandum identifies issues that could prevent or delay execution, reimbursement, construction, interconnection, service launch, receipt retention, the per-Active-Subscriber payment, or enforceability of the Lumbee Tribe / RIVR Tech transaction. No executed TBCP award, CD-450 Financial Assistance Award, Notice of Funding Opportunity PDF, Specific Award Conditions, Tribal resolution, title/easement record, or existing RIVR Tech / LREMC contract was supplied for this work product. All conclusions are provisional and keyed to the assumptions register in Document 01.</w:t>
      </w:r>
    </w:p>
    <w:p>
      <w:r>
        <w:rPr>
          <w:b w:val="0"/>
          <w:i w:val="0"/>
        </w:rPr>
        <w:t>Each red flag states the risk, the consequence, a recommended mitigation, and the governing citation. Section 3 lists the specific written determinations that should be requested from NTIA / the grants officer (see Document 09).</w:t>
      </w:r>
    </w:p>
    <w:p>
      <w:pPr>
        <w:pStyle w:val="Heading1"/>
        <w:spacing w:before="240" w:after="120"/>
      </w:pPr>
      <w:r>
        <w:rPr>
          <w:rFonts w:ascii="Calibri" w:hAnsi="Calibri"/>
          <w:b/>
          <w:color w:val="1F3864"/>
          <w:sz w:val="26"/>
        </w:rPr>
        <w:t>ARTICLE 2.  RED-FLAG REGISTER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F3864"/>
            <w:vAlign w:val="center"/>
          </w:tcPr>
          <w:p>
            <w:pPr>
              <w:jc w:val="center"/>
            </w:pPr>
            <w:r>
              <w:rPr>
                <w:b/>
                <w:color w:val="FFFFFF"/>
                <w:sz w:val="18"/>
              </w:rPr>
              <w:t>Risk</w:t>
            </w:r>
          </w:p>
        </w:tc>
        <w:tc>
          <w:tcPr>
            <w:tcW w:type="dxa" w:w="2160"/>
            <w:shd w:val="clear" w:color="auto" w:fill="1F3864"/>
            <w:vAlign w:val="center"/>
          </w:tcPr>
          <w:p>
            <w:pPr>
              <w:jc w:val="center"/>
            </w:pPr>
            <w:r>
              <w:rPr>
                <w:b/>
                <w:color w:val="FFFFFF"/>
                <w:sz w:val="18"/>
              </w:rPr>
              <w:t>Consequence</w:t>
            </w:r>
          </w:p>
        </w:tc>
        <w:tc>
          <w:tcPr>
            <w:tcW w:type="dxa" w:w="2880"/>
            <w:shd w:val="clear" w:color="auto" w:fill="1F3864"/>
            <w:vAlign w:val="center"/>
          </w:tcPr>
          <w:p>
            <w:pPr>
              <w:jc w:val="center"/>
            </w:pPr>
            <w:r>
              <w:rPr>
                <w:b/>
                <w:color w:val="FFFFFF"/>
                <w:sz w:val="18"/>
              </w:rPr>
              <w:t>Recommended Mitigation</w:t>
            </w:r>
          </w:p>
        </w:tc>
        <w:tc>
          <w:tcPr>
            <w:tcW w:type="dxa" w:w="2160"/>
            <w:shd w:val="clear" w:color="auto" w:fill="1F3864"/>
            <w:vAlign w:val="center"/>
          </w:tcPr>
          <w:p>
            <w:pPr>
              <w:jc w:val="center"/>
            </w:pPr>
            <w:r>
              <w:rPr>
                <w:b/>
                <w:color w:val="FFFFFF"/>
                <w:sz w:val="18"/>
              </w:rPr>
              <w:t>Citation</w:t>
            </w:r>
          </w:p>
        </w:tc>
      </w:tr>
      <w:tr>
        <w:tc>
          <w:tcPr>
            <w:tcW w:type="dxa" w:w="2160"/>
            <w:vAlign w:val="center"/>
          </w:tcPr>
          <w:p>
            <w:r>
              <w:rPr>
                <w:b w:val="0"/>
                <w:i w:val="0"/>
                <w:sz w:val="18"/>
              </w:rPr>
              <w:t>No controlling award or source documents supplied</w:t>
            </w:r>
          </w:p>
        </w:tc>
        <w:tc>
          <w:tcPr>
            <w:tcW w:type="dxa" w:w="2160"/>
            <w:vAlign w:val="center"/>
          </w:tcPr>
          <w:p>
            <w:r>
              <w:rPr>
                <w:b w:val="0"/>
                <w:i w:val="0"/>
                <w:sz w:val="18"/>
              </w:rPr>
              <w:t>Cannot finalize any definitive clause; drafts are provisional.</w:t>
            </w:r>
          </w:p>
        </w:tc>
        <w:tc>
          <w:tcPr>
            <w:tcW w:type="dxa" w:w="2880"/>
            <w:vAlign w:val="center"/>
          </w:tcPr>
          <w:p>
            <w:r>
              <w:rPr>
                <w:b w:val="0"/>
                <w:i w:val="0"/>
                <w:sz w:val="18"/>
              </w:rPr>
              <w:t xml:space="preserve">Obtain executed Award, SAC, controlling NOFO, approved application/budget/routes before finalizing. </w:t>
            </w:r>
            <w:r>
              <w:rPr>
                <w:b/>
                <w:i w:val="0"/>
                <w:color w:val="7F007F"/>
                <w:sz w:val="18"/>
              </w:rPr>
              <w:t>[GRANT COMPLIANCE REVIEW REQUIRED]</w:t>
            </w:r>
          </w:p>
        </w:tc>
        <w:tc>
          <w:tcPr>
            <w:tcW w:type="dxa" w:w="2160"/>
            <w:vAlign w:val="center"/>
          </w:tcPr>
          <w:p>
            <w:r>
              <w:rPr>
                <w:b w:val="0"/>
                <w:i w:val="0"/>
                <w:sz w:val="18"/>
              </w:rPr>
              <w:t>NTIA Standard Terms and Conditions, DOC Financial Assistance Standard Terms and Conditions, and the award's Specific Award Conditions (NOT supplied)</w:t>
            </w:r>
          </w:p>
        </w:tc>
      </w:tr>
      <w:tr>
        <w:tc>
          <w:tcPr>
            <w:tcW w:type="dxa" w:w="2160"/>
            <w:shd w:val="clear" w:color="auto" w:fill="F2F2F2"/>
            <w:vAlign w:val="center"/>
          </w:tcPr>
          <w:p>
            <w:r>
              <w:rPr>
                <w:b w:val="0"/>
                <w:i w:val="0"/>
                <w:sz w:val="18"/>
              </w:rPr>
              <w:t>Contractor vs. subrecipient status of RIVR Tech undetermined</w:t>
            </w:r>
          </w:p>
        </w:tc>
        <w:tc>
          <w:tcPr>
            <w:tcW w:type="dxa" w:w="2160"/>
            <w:shd w:val="clear" w:color="auto" w:fill="F2F2F2"/>
            <w:vAlign w:val="center"/>
          </w:tcPr>
          <w:p>
            <w:r>
              <w:rPr>
                <w:b w:val="0"/>
                <w:i w:val="0"/>
                <w:sz w:val="18"/>
              </w:rPr>
              <w:t>Wrong classification imposes or omits pass-through duties; risks findings.</w:t>
            </w:r>
          </w:p>
        </w:tc>
        <w:tc>
          <w:tcPr>
            <w:tcW w:type="dxa" w:w="2880"/>
            <w:shd w:val="clear" w:color="auto" w:fill="F2F2F2"/>
            <w:vAlign w:val="center"/>
          </w:tcPr>
          <w:p>
            <w:r>
              <w:rPr>
                <w:b w:val="0"/>
                <w:i w:val="0"/>
                <w:sz w:val="18"/>
              </w:rPr>
              <w:t xml:space="preserve">Complete the 200.331 substance analysis (Doc 04) and obtain a written determination. </w:t>
            </w:r>
            <w:r>
              <w:rPr>
                <w:b/>
                <w:i w:val="0"/>
                <w:color w:val="7F007F"/>
                <w:sz w:val="18"/>
              </w:rPr>
              <w:t>[GRANT COMPLIANCE REVIEW REQUIRED]</w:t>
            </w:r>
          </w:p>
        </w:tc>
        <w:tc>
          <w:tcPr>
            <w:tcW w:type="dxa" w:w="2160"/>
            <w:shd w:val="clear" w:color="auto" w:fill="F2F2F2"/>
            <w:vAlign w:val="center"/>
          </w:tcPr>
          <w:p>
            <w:r>
              <w:rPr>
                <w:b w:val="0"/>
                <w:i w:val="0"/>
                <w:sz w:val="18"/>
              </w:rPr>
              <w:t>2 CFR 200.331 (Subrecipient and contractor determinations)</w:t>
            </w:r>
          </w:p>
        </w:tc>
      </w:tr>
      <w:tr>
        <w:tc>
          <w:tcPr>
            <w:tcW w:type="dxa" w:w="2160"/>
            <w:vAlign w:val="center"/>
          </w:tcPr>
          <w:p>
            <w:r>
              <w:rPr>
                <w:b w:val="0"/>
                <w:i w:val="0"/>
                <w:sz w:val="18"/>
              </w:rPr>
              <w:t>RIVR Tech as retail provider of record not approved</w:t>
            </w:r>
          </w:p>
        </w:tc>
        <w:tc>
          <w:tcPr>
            <w:tcW w:type="dxa" w:w="2160"/>
            <w:vAlign w:val="center"/>
          </w:tcPr>
          <w:p>
            <w:r>
              <w:rPr>
                <w:b w:val="0"/>
                <w:i w:val="0"/>
                <w:sz w:val="18"/>
              </w:rPr>
              <w:t>Operator/retail role over grant-funded assets may be impermissible without approval.</w:t>
            </w:r>
          </w:p>
        </w:tc>
        <w:tc>
          <w:tcPr>
            <w:tcW w:type="dxa" w:w="2880"/>
            <w:vAlign w:val="center"/>
          </w:tcPr>
          <w:p>
            <w:r>
              <w:rPr>
                <w:b w:val="0"/>
                <w:i w:val="0"/>
                <w:sz w:val="18"/>
              </w:rPr>
              <w:t xml:space="preserve">Request written operating-appointment determination; structure via IRU + O&amp;M. </w:t>
            </w:r>
            <w:r>
              <w:rPr>
                <w:b/>
                <w:i w:val="0"/>
                <w:color w:val="7F007F"/>
                <w:sz w:val="18"/>
              </w:rPr>
              <w:t>[GRANT COMPLIANCE REVIEW REQUIRED]</w:t>
            </w:r>
          </w:p>
        </w:tc>
        <w:tc>
          <w:tcPr>
            <w:tcW w:type="dxa" w:w="2160"/>
            <w:vAlign w:val="center"/>
          </w:tcPr>
          <w:p>
            <w:r>
              <w:rPr>
                <w:b w:val="0"/>
                <w:i w:val="0"/>
                <w:sz w:val="18"/>
              </w:rPr>
              <w:t>2 CFR 200.313 (Equipment — use, management, and disposition)</w:t>
            </w:r>
          </w:p>
        </w:tc>
      </w:tr>
      <w:tr>
        <w:tc>
          <w:tcPr>
            <w:tcW w:type="dxa" w:w="2160"/>
            <w:shd w:val="clear" w:color="auto" w:fill="F2F2F2"/>
            <w:vAlign w:val="center"/>
          </w:tcPr>
          <w:p>
            <w:r>
              <w:rPr>
                <w:b w:val="0"/>
                <w:i w:val="0"/>
                <w:sz w:val="18"/>
              </w:rPr>
              <w:t>Per-subscriber payment characterization / program income</w:t>
            </w:r>
          </w:p>
        </w:tc>
        <w:tc>
          <w:tcPr>
            <w:tcW w:type="dxa" w:w="2160"/>
            <w:shd w:val="clear" w:color="auto" w:fill="F2F2F2"/>
            <w:vAlign w:val="center"/>
          </w:tcPr>
          <w:p>
            <w:r>
              <w:rPr>
                <w:b w:val="0"/>
                <w:i w:val="0"/>
                <w:sz w:val="18"/>
              </w:rPr>
              <w:t>Mischaracterization risks disallowance or misreported program income.</w:t>
            </w:r>
          </w:p>
        </w:tc>
        <w:tc>
          <w:tcPr>
            <w:tcW w:type="dxa" w:w="2880"/>
            <w:shd w:val="clear" w:color="auto" w:fill="F2F2F2"/>
            <w:vAlign w:val="center"/>
          </w:tcPr>
          <w:p>
            <w:r>
              <w:rPr>
                <w:b w:val="0"/>
                <w:i w:val="0"/>
                <w:sz w:val="18"/>
              </w:rPr>
              <w:t xml:space="preserve">Obtain written program-income determination; label does not control. </w:t>
            </w:r>
            <w:r>
              <w:rPr>
                <w:b/>
                <w:i w:val="0"/>
                <w:color w:val="7F007F"/>
                <w:sz w:val="18"/>
              </w:rPr>
              <w:t>[GRANT COMPLIANCE REVIEW REQUIRED]</w:t>
            </w:r>
          </w:p>
        </w:tc>
        <w:tc>
          <w:tcPr>
            <w:tcW w:type="dxa" w:w="2160"/>
            <w:shd w:val="clear" w:color="auto" w:fill="F2F2F2"/>
            <w:vAlign w:val="center"/>
          </w:tcPr>
          <w:p>
            <w:r>
              <w:rPr>
                <w:b w:val="0"/>
                <w:i w:val="0"/>
                <w:sz w:val="18"/>
              </w:rPr>
              <w:t>2 CFR 200.307 (Program income)</w:t>
            </w:r>
          </w:p>
        </w:tc>
      </w:tr>
      <w:tr>
        <w:tc>
          <w:tcPr>
            <w:tcW w:type="dxa" w:w="2160"/>
            <w:vAlign w:val="center"/>
          </w:tcPr>
          <w:p>
            <w:r>
              <w:rPr>
                <w:b w:val="0"/>
                <w:i w:val="0"/>
                <w:sz w:val="18"/>
              </w:rPr>
              <w:t>Use of existing RIVR Tech assets as a free contribution</w:t>
            </w:r>
          </w:p>
        </w:tc>
        <w:tc>
          <w:tcPr>
            <w:tcW w:type="dxa" w:w="2160"/>
            <w:vAlign w:val="center"/>
          </w:tcPr>
          <w:p>
            <w:r>
              <w:rPr>
                <w:b w:val="0"/>
                <w:i w:val="0"/>
                <w:sz w:val="18"/>
              </w:rPr>
              <w:t>Unpriced use of pre-existing or grant capacity risks disallowed costs.</w:t>
            </w:r>
          </w:p>
        </w:tc>
        <w:tc>
          <w:tcPr>
            <w:tcW w:type="dxa" w:w="2880"/>
            <w:vAlign w:val="center"/>
          </w:tcPr>
          <w:p>
            <w:r>
              <w:rPr>
                <w:b w:val="0"/>
                <w:i w:val="0"/>
                <w:sz w:val="18"/>
              </w:rPr>
              <w:t xml:space="preserve">Value and cost-allocate existing assets; never treat as free. </w:t>
            </w:r>
            <w:r>
              <w:rPr>
                <w:b/>
                <w:i w:val="0"/>
                <w:color w:val="C00000"/>
                <w:sz w:val="18"/>
              </w:rPr>
              <w:t>[BUSINESS DECISION REQUIRED]</w:t>
            </w:r>
          </w:p>
        </w:tc>
        <w:tc>
          <w:tcPr>
            <w:tcW w:type="dxa" w:w="2160"/>
            <w:vAlign w:val="center"/>
          </w:tcPr>
          <w:p>
            <w:r>
              <w:rPr>
                <w:b w:val="0"/>
                <w:i w:val="0"/>
                <w:sz w:val="18"/>
              </w:rPr>
              <w:t>2 CFR Part 200, Subpart E (Cost Principles — allowability, allocability, reasonableness)</w:t>
            </w:r>
          </w:p>
        </w:tc>
      </w:tr>
      <w:tr>
        <w:tc>
          <w:tcPr>
            <w:tcW w:type="dxa" w:w="2160"/>
            <w:shd w:val="clear" w:color="auto" w:fill="F2F2F2"/>
            <w:vAlign w:val="center"/>
          </w:tcPr>
          <w:p>
            <w:r>
              <w:rPr>
                <w:b w:val="0"/>
                <w:i w:val="0"/>
                <w:sz w:val="18"/>
              </w:rPr>
              <w:t>LREMC assets used without consent or joinder</w:t>
            </w:r>
          </w:p>
        </w:tc>
        <w:tc>
          <w:tcPr>
            <w:tcW w:type="dxa" w:w="2160"/>
            <w:shd w:val="clear" w:color="auto" w:fill="F2F2F2"/>
            <w:vAlign w:val="center"/>
          </w:tcPr>
          <w:p>
            <w:r>
              <w:rPr>
                <w:b w:val="0"/>
                <w:i w:val="0"/>
                <w:sz w:val="18"/>
              </w:rPr>
              <w:t>No lawful access to poles/fiber/easements/huts/power/land; construction blocked.</w:t>
            </w:r>
          </w:p>
        </w:tc>
        <w:tc>
          <w:tcPr>
            <w:tcW w:type="dxa" w:w="2880"/>
            <w:shd w:val="clear" w:color="auto" w:fill="F2F2F2"/>
            <w:vAlign w:val="center"/>
          </w:tcPr>
          <w:p>
            <w:r>
              <w:rPr>
                <w:b w:val="0"/>
                <w:i w:val="0"/>
                <w:sz w:val="18"/>
              </w:rPr>
              <w:t xml:space="preserve">Obtain LREMC consent/joinder and separate instruments (Schedule S9). </w:t>
            </w:r>
            <w:r>
              <w:rPr>
                <w:b/>
                <w:i w:val="0"/>
                <w:color w:val="0000C0"/>
                <w:sz w:val="18"/>
              </w:rPr>
              <w:t>[ATTORNEY REVIEW REQUIRED]</w:t>
            </w:r>
          </w:p>
        </w:tc>
        <w:tc>
          <w:tcPr>
            <w:tcW w:type="dxa" w:w="2160"/>
            <w:shd w:val="clear" w:color="auto" w:fill="F2F2F2"/>
            <w:vAlign w:val="center"/>
          </w:tcPr>
          <w:p>
            <w:r>
              <w:rPr>
                <w:b w:val="0"/>
                <w:i w:val="0"/>
                <w:sz w:val="18"/>
              </w:rPr>
              <w:t>N.C. Gen. Stat. § 62-350 (broadband attachment to utility poles)</w:t>
            </w:r>
          </w:p>
        </w:tc>
      </w:tr>
      <w:tr>
        <w:tc>
          <w:tcPr>
            <w:tcW w:type="dxa" w:w="2160"/>
            <w:vAlign w:val="center"/>
          </w:tcPr>
          <w:p>
            <w:r>
              <w:rPr>
                <w:b w:val="0"/>
                <w:i w:val="0"/>
                <w:sz w:val="18"/>
              </w:rPr>
              <w:t>Sovereign-immunity / governing-law / forum unresolved</w:t>
            </w:r>
          </w:p>
        </w:tc>
        <w:tc>
          <w:tcPr>
            <w:tcW w:type="dxa" w:w="2160"/>
            <w:vAlign w:val="center"/>
          </w:tcPr>
          <w:p>
            <w:r>
              <w:rPr>
                <w:b w:val="0"/>
                <w:i w:val="0"/>
                <w:sz w:val="18"/>
              </w:rPr>
              <w:t>Enforceability and dispute resolution uncertain; silent choice impermissible.</w:t>
            </w:r>
          </w:p>
        </w:tc>
        <w:tc>
          <w:tcPr>
            <w:tcW w:type="dxa" w:w="2880"/>
            <w:vAlign w:val="center"/>
          </w:tcPr>
          <w:p>
            <w:r>
              <w:rPr>
                <w:b w:val="0"/>
                <w:i w:val="0"/>
                <w:sz w:val="18"/>
              </w:rPr>
              <w:t xml:space="preserve">Present bracketed alternatives for Council decision; any waiver must be express + approved. </w:t>
            </w:r>
            <w:r>
              <w:rPr>
                <w:b/>
                <w:i w:val="0"/>
                <w:color w:val="0000C0"/>
                <w:sz w:val="18"/>
              </w:rPr>
              <w:t>[ATTORNEY REVIEW REQUIRED]</w:t>
            </w:r>
          </w:p>
        </w:tc>
        <w:tc>
          <w:tcPr>
            <w:tcW w:type="dxa" w:w="2160"/>
            <w:vAlign w:val="center"/>
          </w:tcPr>
          <w:p>
            <w:r>
              <w:rPr>
                <w:b w:val="0"/>
                <w:i w:val="0"/>
                <w:sz w:val="18"/>
              </w:rPr>
              <w:t>Santa Clara Pueblo v. Martinez, 436 U.S. 49 (1978); C&amp;L Enterprises v. Citizen Band Potawatomi, 532 U.S. 411 (2001); Michigan v. Bay Mills, 572 U.S. 782 (2014) (tribal sovereign immunity; clear express waiver required)</w:t>
            </w:r>
          </w:p>
        </w:tc>
      </w:tr>
      <w:tr>
        <w:tc>
          <w:tcPr>
            <w:tcW w:type="dxa" w:w="2160"/>
            <w:shd w:val="clear" w:color="auto" w:fill="F2F2F2"/>
            <w:vAlign w:val="center"/>
          </w:tcPr>
          <w:p>
            <w:r>
              <w:rPr>
                <w:b w:val="0"/>
                <w:i w:val="0"/>
                <w:sz w:val="18"/>
              </w:rPr>
              <w:t>Lumbee federal-recognition threshold eligibility</w:t>
            </w:r>
          </w:p>
        </w:tc>
        <w:tc>
          <w:tcPr>
            <w:tcW w:type="dxa" w:w="2160"/>
            <w:shd w:val="clear" w:color="auto" w:fill="F2F2F2"/>
            <w:vAlign w:val="center"/>
          </w:tcPr>
          <w:p>
            <w:r>
              <w:rPr>
                <w:b w:val="0"/>
                <w:i w:val="0"/>
                <w:sz w:val="18"/>
              </w:rPr>
              <w:t>Eligibility failure is dispositive for TBCP participation.</w:t>
            </w:r>
          </w:p>
        </w:tc>
        <w:tc>
          <w:tcPr>
            <w:tcW w:type="dxa" w:w="2880"/>
            <w:shd w:val="clear" w:color="auto" w:fill="F2F2F2"/>
            <w:vAlign w:val="center"/>
          </w:tcPr>
          <w:p>
            <w:r>
              <w:rPr>
                <w:b w:val="0"/>
                <w:i w:val="0"/>
                <w:sz w:val="18"/>
              </w:rPr>
              <w:t xml:space="preserve">Confirm recognition status and TBCP eligibility before proceeding. </w:t>
            </w:r>
            <w:r>
              <w:rPr>
                <w:b/>
                <w:i w:val="0"/>
                <w:color w:val="0000C0"/>
                <w:sz w:val="18"/>
              </w:rPr>
              <w:t>[ATTORNEY REVIEW REQUIRED]</w:t>
            </w:r>
            <w:r>
              <w:rPr>
                <w:b w:val="0"/>
                <w:i w:val="0"/>
                <w:sz w:val="18"/>
              </w:rPr>
              <w:t xml:space="preserve"> </w:t>
            </w:r>
            <w:r>
              <w:rPr>
                <w:b/>
                <w:i w:val="0"/>
                <w:color w:val="7F007F"/>
                <w:sz w:val="18"/>
              </w:rPr>
              <w:t>[GRANT COMPLIANCE REVIEW REQUIRED]</w:t>
            </w:r>
          </w:p>
        </w:tc>
        <w:tc>
          <w:tcPr>
            <w:tcW w:type="dxa" w:w="2160"/>
            <w:shd w:val="clear" w:color="auto" w:fill="F2F2F2"/>
            <w:vAlign w:val="center"/>
          </w:tcPr>
          <w:p>
            <w:r>
              <w:rPr>
                <w:b w:val="0"/>
                <w:i w:val="0"/>
                <w:sz w:val="18"/>
              </w:rPr>
              <w:t>Lumbee Act of 1956, Pub. L. 84-570, 70 Stat. 254 (federal-recognition status affecting TBCP eligibility)</w:t>
            </w:r>
          </w:p>
        </w:tc>
      </w:tr>
      <w:tr>
        <w:tc>
          <w:tcPr>
            <w:tcW w:type="dxa" w:w="2160"/>
            <w:vAlign w:val="center"/>
          </w:tcPr>
          <w:p>
            <w:r>
              <w:rPr>
                <w:b w:val="0"/>
                <w:i w:val="0"/>
                <w:sz w:val="18"/>
              </w:rPr>
              <w:t>Procurement compliance / OCI (RIVR Tech affiliated with LREMC)</w:t>
            </w:r>
          </w:p>
        </w:tc>
        <w:tc>
          <w:tcPr>
            <w:tcW w:type="dxa" w:w="2160"/>
            <w:vAlign w:val="center"/>
          </w:tcPr>
          <w:p>
            <w:r>
              <w:rPr>
                <w:b w:val="0"/>
                <w:i w:val="0"/>
                <w:sz w:val="18"/>
              </w:rPr>
              <w:t>Non-compliant selection risks disallowed costs and conflict findings.</w:t>
            </w:r>
          </w:p>
        </w:tc>
        <w:tc>
          <w:tcPr>
            <w:tcW w:type="dxa" w:w="2880"/>
            <w:vAlign w:val="center"/>
          </w:tcPr>
          <w:p>
            <w:r>
              <w:rPr>
                <w:b w:val="0"/>
                <w:i w:val="0"/>
                <w:sz w:val="18"/>
              </w:rPr>
              <w:t xml:space="preserve">Document competition or sole-source justification; address OCI + conduct standards (Doc 05). </w:t>
            </w:r>
            <w:r>
              <w:rPr>
                <w:b/>
                <w:i w:val="0"/>
                <w:color w:val="7F007F"/>
                <w:sz w:val="18"/>
              </w:rPr>
              <w:t>[GRANT COMPLIANCE REVIEW REQUIRED]</w:t>
            </w:r>
          </w:p>
        </w:tc>
        <w:tc>
          <w:tcPr>
            <w:tcW w:type="dxa" w:w="2160"/>
            <w:vAlign w:val="center"/>
          </w:tcPr>
          <w:p>
            <w:r>
              <w:rPr>
                <w:b w:val="0"/>
                <w:i w:val="0"/>
                <w:sz w:val="18"/>
              </w:rPr>
              <w:t>2 CFR 200.317–200.327 (Procurement standards)</w:t>
            </w:r>
          </w:p>
        </w:tc>
      </w:tr>
      <w:tr>
        <w:tc>
          <w:tcPr>
            <w:tcW w:type="dxa" w:w="2160"/>
            <w:shd w:val="clear" w:color="auto" w:fill="F2F2F2"/>
            <w:vAlign w:val="center"/>
          </w:tcPr>
          <w:p>
            <w:r>
              <w:rPr>
                <w:b w:val="0"/>
                <w:i w:val="0"/>
                <w:sz w:val="18"/>
              </w:rPr>
              <w:t>BABA / Section 889 non-compliance</w:t>
            </w:r>
          </w:p>
        </w:tc>
        <w:tc>
          <w:tcPr>
            <w:tcW w:type="dxa" w:w="2160"/>
            <w:shd w:val="clear" w:color="auto" w:fill="F2F2F2"/>
            <w:vAlign w:val="center"/>
          </w:tcPr>
          <w:p>
            <w:r>
              <w:rPr>
                <w:b w:val="0"/>
                <w:i w:val="0"/>
                <w:sz w:val="18"/>
              </w:rPr>
              <w:t>Prohibited equipment or non-domestic content risks disallowance.</w:t>
            </w:r>
          </w:p>
        </w:tc>
        <w:tc>
          <w:tcPr>
            <w:tcW w:type="dxa" w:w="2880"/>
            <w:shd w:val="clear" w:color="auto" w:fill="F2F2F2"/>
            <w:vAlign w:val="center"/>
          </w:tcPr>
          <w:p>
            <w:r>
              <w:rPr>
                <w:b w:val="0"/>
                <w:i w:val="0"/>
                <w:sz w:val="18"/>
              </w:rPr>
              <w:t xml:space="preserve">Collect attestations, BOM review, and any waivers. </w:t>
            </w:r>
            <w:r>
              <w:rPr>
                <w:b/>
                <w:i w:val="0"/>
                <w:color w:val="7F007F"/>
                <w:sz w:val="18"/>
              </w:rPr>
              <w:t>[GRANT COMPLIANCE REVIEW REQUIRED]</w:t>
            </w:r>
          </w:p>
        </w:tc>
        <w:tc>
          <w:tcPr>
            <w:tcW w:type="dxa" w:w="2160"/>
            <w:shd w:val="clear" w:color="auto" w:fill="F2F2F2"/>
            <w:vAlign w:val="center"/>
          </w:tcPr>
          <w:p>
            <w:r>
              <w:rPr>
                <w:b w:val="0"/>
                <w:i w:val="0"/>
                <w:sz w:val="18"/>
              </w:rPr>
              <w:t>Build America, Buy America Act, IIJA §§ 70911–70917 (Pub. L. 117-58); 2 CFR Part 184; and NTIA BABA award terms</w:t>
            </w:r>
          </w:p>
        </w:tc>
      </w:tr>
      <w:tr>
        <w:tc>
          <w:tcPr>
            <w:tcW w:type="dxa" w:w="2160"/>
            <w:vAlign w:val="center"/>
          </w:tcPr>
          <w:p>
            <w:r>
              <w:rPr>
                <w:b w:val="0"/>
                <w:i w:val="0"/>
                <w:sz w:val="18"/>
              </w:rPr>
              <w:t>NEPA / NHPA not complete before construction</w:t>
            </w:r>
          </w:p>
        </w:tc>
        <w:tc>
          <w:tcPr>
            <w:tcW w:type="dxa" w:w="2160"/>
            <w:vAlign w:val="center"/>
          </w:tcPr>
          <w:p>
            <w:r>
              <w:rPr>
                <w:b w:val="0"/>
                <w:i w:val="0"/>
                <w:sz w:val="18"/>
              </w:rPr>
              <w:t>Ground-disturbing work before clearance risks reimbursement loss.</w:t>
            </w:r>
          </w:p>
        </w:tc>
        <w:tc>
          <w:tcPr>
            <w:tcW w:type="dxa" w:w="2880"/>
            <w:vAlign w:val="center"/>
          </w:tcPr>
          <w:p>
            <w:r>
              <w:rPr>
                <w:b w:val="0"/>
                <w:i w:val="0"/>
                <w:sz w:val="18"/>
              </w:rPr>
              <w:t xml:space="preserve">Complete environmental and Section 106 review before construction. </w:t>
            </w:r>
            <w:r>
              <w:rPr>
                <w:b/>
                <w:i w:val="0"/>
                <w:color w:val="7F007F"/>
                <w:sz w:val="18"/>
              </w:rPr>
              <w:t>[GRANT COMPLIANCE REVIEW REQUIRED]</w:t>
            </w:r>
          </w:p>
        </w:tc>
        <w:tc>
          <w:tcPr>
            <w:tcW w:type="dxa" w:w="2160"/>
            <w:vAlign w:val="center"/>
          </w:tcPr>
          <w:p>
            <w:r>
              <w:rPr>
                <w:b w:val="0"/>
                <w:i w:val="0"/>
                <w:sz w:val="18"/>
              </w:rPr>
              <w:t>National Environmental Policy Act (NEPA), 42 U.S.C. § 4321 et seq., and DOC/NTIA implementing procedures; National Historic Preservation Act § 106, 54 U.S.C. § 306108 (36 CFR Part 800)</w:t>
            </w:r>
          </w:p>
        </w:tc>
      </w:tr>
      <w:tr>
        <w:tc>
          <w:tcPr>
            <w:tcW w:type="dxa" w:w="2160"/>
            <w:shd w:val="clear" w:color="auto" w:fill="F2F2F2"/>
            <w:vAlign w:val="center"/>
          </w:tcPr>
          <w:p>
            <w:r>
              <w:rPr>
                <w:b w:val="0"/>
                <w:i w:val="0"/>
                <w:sz w:val="18"/>
              </w:rPr>
              <w:t>Federal interest and disposition on grant-funded assets</w:t>
            </w:r>
          </w:p>
        </w:tc>
        <w:tc>
          <w:tcPr>
            <w:tcW w:type="dxa" w:w="2160"/>
            <w:shd w:val="clear" w:color="auto" w:fill="F2F2F2"/>
            <w:vAlign w:val="center"/>
          </w:tcPr>
          <w:p>
            <w:r>
              <w:rPr>
                <w:b w:val="0"/>
                <w:i w:val="0"/>
                <w:sz w:val="18"/>
              </w:rPr>
              <w:t>Encumbrance/IRU may require federal approval; disposition rules apply.</w:t>
            </w:r>
          </w:p>
        </w:tc>
        <w:tc>
          <w:tcPr>
            <w:tcW w:type="dxa" w:w="2880"/>
            <w:shd w:val="clear" w:color="auto" w:fill="F2F2F2"/>
            <w:vAlign w:val="center"/>
          </w:tcPr>
          <w:p>
            <w:r>
              <w:rPr>
                <w:b w:val="0"/>
                <w:i w:val="0"/>
                <w:sz w:val="18"/>
              </w:rPr>
              <w:t xml:space="preserve">Map federal interest (Doc 07); obtain approvals for any encumbrance. </w:t>
            </w:r>
            <w:r>
              <w:rPr>
                <w:b/>
                <w:i w:val="0"/>
                <w:color w:val="7F007F"/>
                <w:sz w:val="18"/>
              </w:rPr>
              <w:t>[GRANT COMPLIANCE REVIEW REQUIRED]</w:t>
            </w:r>
          </w:p>
        </w:tc>
        <w:tc>
          <w:tcPr>
            <w:tcW w:type="dxa" w:w="2160"/>
            <w:shd w:val="clear" w:color="auto" w:fill="F2F2F2"/>
            <w:vAlign w:val="center"/>
          </w:tcPr>
          <w:p>
            <w:r>
              <w:rPr>
                <w:b w:val="0"/>
                <w:i w:val="0"/>
                <w:sz w:val="18"/>
              </w:rPr>
              <w:t>2 CFR 200.311 (Real property — use, encumbrance, and disposition); 2 CFR 200.313 (Equipment — use, management, and disposition)</w:t>
            </w:r>
          </w:p>
        </w:tc>
      </w:tr>
      <w:tr>
        <w:tc>
          <w:tcPr>
            <w:tcW w:type="dxa" w:w="2160"/>
            <w:vAlign w:val="center"/>
          </w:tcPr>
          <w:p>
            <w:r>
              <w:rPr>
                <w:b w:val="0"/>
                <w:i w:val="0"/>
                <w:sz w:val="18"/>
              </w:rPr>
              <w:t>Land / ROW / pole rights not secured</w:t>
            </w:r>
          </w:p>
        </w:tc>
        <w:tc>
          <w:tcPr>
            <w:tcW w:type="dxa" w:w="2160"/>
            <w:vAlign w:val="center"/>
          </w:tcPr>
          <w:p>
            <w:r>
              <w:rPr>
                <w:b w:val="0"/>
                <w:i w:val="0"/>
                <w:sz w:val="18"/>
              </w:rPr>
              <w:t>Construction and operations cannot lawfully proceed.</w:t>
            </w:r>
          </w:p>
        </w:tc>
        <w:tc>
          <w:tcPr>
            <w:tcW w:type="dxa" w:w="2880"/>
            <w:vAlign w:val="center"/>
          </w:tcPr>
          <w:p>
            <w:r>
              <w:rPr>
                <w:b w:val="0"/>
                <w:i w:val="0"/>
                <w:sz w:val="18"/>
              </w:rPr>
              <w:t xml:space="preserve">Secure LREMC/third-party instruments; confirm any BIA approvals. </w:t>
            </w:r>
            <w:r>
              <w:rPr>
                <w:b/>
                <w:i w:val="0"/>
                <w:color w:val="0000C0"/>
                <w:sz w:val="18"/>
              </w:rPr>
              <w:t>[ATTORNEY REVIEW REQUIRED]</w:t>
            </w:r>
          </w:p>
        </w:tc>
        <w:tc>
          <w:tcPr>
            <w:tcW w:type="dxa" w:w="2160"/>
            <w:vAlign w:val="center"/>
          </w:tcPr>
          <w:p>
            <w:r>
              <w:rPr>
                <w:b w:val="0"/>
                <w:i w:val="0"/>
                <w:sz w:val="18"/>
              </w:rPr>
              <w:t>25 CFR Part 169 (rights-of-way over Indian land) — where trust/restricted land is crossed</w:t>
            </w:r>
          </w:p>
        </w:tc>
      </w:tr>
      <w:tr>
        <w:tc>
          <w:tcPr>
            <w:tcW w:type="dxa" w:w="2160"/>
            <w:shd w:val="clear" w:color="auto" w:fill="F2F2F2"/>
            <w:vAlign w:val="center"/>
          </w:tcPr>
          <w:p>
            <w:r>
              <w:rPr>
                <w:b w:val="0"/>
                <w:i w:val="0"/>
                <w:sz w:val="18"/>
              </w:rPr>
              <w:t>IRU to a contractor over federally funded assets</w:t>
            </w:r>
          </w:p>
        </w:tc>
        <w:tc>
          <w:tcPr>
            <w:tcW w:type="dxa" w:w="2160"/>
            <w:shd w:val="clear" w:color="auto" w:fill="F2F2F2"/>
            <w:vAlign w:val="center"/>
          </w:tcPr>
          <w:p>
            <w:r>
              <w:rPr>
                <w:b w:val="0"/>
                <w:i w:val="0"/>
                <w:sz w:val="18"/>
              </w:rPr>
              <w:t>Grant of long-term rights may need federal approval and program-income analysis.</w:t>
            </w:r>
          </w:p>
        </w:tc>
        <w:tc>
          <w:tcPr>
            <w:tcW w:type="dxa" w:w="2880"/>
            <w:shd w:val="clear" w:color="auto" w:fill="F2F2F2"/>
            <w:vAlign w:val="center"/>
          </w:tcPr>
          <w:p>
            <w:r>
              <w:rPr>
                <w:b w:val="0"/>
                <w:i w:val="0"/>
                <w:sz w:val="18"/>
              </w:rPr>
              <w:t xml:space="preserve">Request IRU determination; align term with federal-interest period. </w:t>
            </w:r>
            <w:r>
              <w:rPr>
                <w:b/>
                <w:i w:val="0"/>
                <w:color w:val="7F007F"/>
                <w:sz w:val="18"/>
              </w:rPr>
              <w:t>[GRANT COMPLIANCE REVIEW REQUIRED]</w:t>
            </w:r>
          </w:p>
        </w:tc>
        <w:tc>
          <w:tcPr>
            <w:tcW w:type="dxa" w:w="2160"/>
            <w:shd w:val="clear" w:color="auto" w:fill="F2F2F2"/>
            <w:vAlign w:val="center"/>
          </w:tcPr>
          <w:p>
            <w:r>
              <w:rPr>
                <w:b w:val="0"/>
                <w:i w:val="0"/>
                <w:sz w:val="18"/>
              </w:rPr>
              <w:t>2 CFR 200.315 (Intangible property)</w:t>
            </w:r>
          </w:p>
        </w:tc>
      </w:tr>
      <w:tr>
        <w:tc>
          <w:tcPr>
            <w:tcW w:type="dxa" w:w="2160"/>
            <w:vAlign w:val="center"/>
          </w:tcPr>
          <w:p>
            <w:r>
              <w:rPr>
                <w:b w:val="0"/>
                <w:i w:val="0"/>
                <w:sz w:val="18"/>
              </w:rPr>
              <w:t>Commercial / non-project capacity and exclusivity</w:t>
            </w:r>
          </w:p>
        </w:tc>
        <w:tc>
          <w:tcPr>
            <w:tcW w:type="dxa" w:w="2160"/>
            <w:vAlign w:val="center"/>
          </w:tcPr>
          <w:p>
            <w:r>
              <w:rPr>
                <w:b w:val="0"/>
                <w:i w:val="0"/>
                <w:sz w:val="18"/>
              </w:rPr>
              <w:t>Unapproved commercial use of grant capacity risks findings.</w:t>
            </w:r>
          </w:p>
        </w:tc>
        <w:tc>
          <w:tcPr>
            <w:tcW w:type="dxa" w:w="2880"/>
            <w:vAlign w:val="center"/>
          </w:tcPr>
          <w:p>
            <w:r>
              <w:rPr>
                <w:b w:val="0"/>
                <w:i w:val="0"/>
                <w:sz w:val="18"/>
              </w:rPr>
              <w:t xml:space="preserve">Define reserved/commercial capacity; value it; seek approval (Schedule S10). </w:t>
            </w:r>
            <w:r>
              <w:rPr>
                <w:b/>
                <w:i w:val="0"/>
                <w:color w:val="C00000"/>
                <w:sz w:val="18"/>
              </w:rPr>
              <w:t>[BUSINESS DECISION REQUIRED]</w:t>
            </w:r>
          </w:p>
        </w:tc>
        <w:tc>
          <w:tcPr>
            <w:tcW w:type="dxa" w:w="2160"/>
            <w:vAlign w:val="center"/>
          </w:tcPr>
          <w:p>
            <w:r>
              <w:rPr>
                <w:b w:val="0"/>
                <w:i w:val="0"/>
                <w:sz w:val="18"/>
              </w:rPr>
              <w:t>2 CFR 200.307 (Program income)</w:t>
            </w:r>
          </w:p>
        </w:tc>
      </w:tr>
      <w:tr>
        <w:tc>
          <w:tcPr>
            <w:tcW w:type="dxa" w:w="2160"/>
            <w:shd w:val="clear" w:color="auto" w:fill="F2F2F2"/>
            <w:vAlign w:val="center"/>
          </w:tcPr>
          <w:p>
            <w:r>
              <w:rPr>
                <w:b w:val="0"/>
                <w:i w:val="0"/>
                <w:sz w:val="18"/>
              </w:rPr>
              <w:t>Customer-receipt retention and record access</w:t>
            </w:r>
          </w:p>
        </w:tc>
        <w:tc>
          <w:tcPr>
            <w:tcW w:type="dxa" w:w="2160"/>
            <w:shd w:val="clear" w:color="auto" w:fill="F2F2F2"/>
            <w:vAlign w:val="center"/>
          </w:tcPr>
          <w:p>
            <w:r>
              <w:rPr>
                <w:b w:val="0"/>
                <w:i w:val="0"/>
                <w:sz w:val="18"/>
              </w:rPr>
              <w:t>Inadequate records risk audit findings and payment disputes.</w:t>
            </w:r>
          </w:p>
        </w:tc>
        <w:tc>
          <w:tcPr>
            <w:tcW w:type="dxa" w:w="2880"/>
            <w:shd w:val="clear" w:color="auto" w:fill="F2F2F2"/>
            <w:vAlign w:val="center"/>
          </w:tcPr>
          <w:p>
            <w:r>
              <w:rPr>
                <w:b w:val="0"/>
                <w:i w:val="0"/>
                <w:sz w:val="18"/>
              </w:rPr>
              <w:t xml:space="preserve">Implement receipt retention and access procedures. </w:t>
            </w:r>
            <w:r>
              <w:rPr>
                <w:b/>
                <w:i w:val="0"/>
                <w:color w:val="7F007F"/>
                <w:sz w:val="18"/>
              </w:rPr>
              <w:t>[GRANT COMPLIANCE REVIEW REQUIRED]</w:t>
            </w:r>
          </w:p>
        </w:tc>
        <w:tc>
          <w:tcPr>
            <w:tcW w:type="dxa" w:w="2160"/>
            <w:shd w:val="clear" w:color="auto" w:fill="F2F2F2"/>
            <w:vAlign w:val="center"/>
          </w:tcPr>
          <w:p>
            <w:r>
              <w:rPr>
                <w:b w:val="0"/>
                <w:i w:val="0"/>
                <w:sz w:val="18"/>
              </w:rPr>
              <w:t>2 CFR 200.334–200.337 (Record retention and access; three-year retention)</w:t>
            </w:r>
          </w:p>
        </w:tc>
      </w:tr>
      <w:tr>
        <w:tc>
          <w:tcPr>
            <w:tcW w:type="dxa" w:w="2160"/>
            <w:vAlign w:val="center"/>
          </w:tcPr>
          <w:p>
            <w:r>
              <w:rPr>
                <w:b w:val="0"/>
                <w:i w:val="0"/>
                <w:sz w:val="18"/>
              </w:rPr>
              <w:t>Insurance adequacy and additional-insured status</w:t>
            </w:r>
          </w:p>
        </w:tc>
        <w:tc>
          <w:tcPr>
            <w:tcW w:type="dxa" w:w="2160"/>
            <w:vAlign w:val="center"/>
          </w:tcPr>
          <w:p>
            <w:r>
              <w:rPr>
                <w:b w:val="0"/>
                <w:i w:val="0"/>
                <w:sz w:val="18"/>
              </w:rPr>
              <w:t>Underinsurance exposes the Tribe and grant-funded assets.</w:t>
            </w:r>
          </w:p>
        </w:tc>
        <w:tc>
          <w:tcPr>
            <w:tcW w:type="dxa" w:w="2880"/>
            <w:vAlign w:val="center"/>
          </w:tcPr>
          <w:p>
            <w:r>
              <w:rPr>
                <w:b w:val="0"/>
                <w:i w:val="0"/>
                <w:sz w:val="18"/>
              </w:rPr>
              <w:t xml:space="preserve">Confirm limits and endorsements (Schedule S12). </w:t>
            </w:r>
            <w:r>
              <w:rPr>
                <w:b/>
                <w:i w:val="0"/>
                <w:color w:val="0000C0"/>
                <w:sz w:val="18"/>
              </w:rPr>
              <w:t>[ATTORNEY REVIEW REQUIRED]</w:t>
            </w:r>
          </w:p>
        </w:tc>
        <w:tc>
          <w:tcPr>
            <w:tcW w:type="dxa" w:w="2160"/>
            <w:vAlign w:val="center"/>
          </w:tcPr>
          <w:p>
            <w:r>
              <w:rPr>
                <w:b w:val="0"/>
                <w:i w:val="0"/>
                <w:sz w:val="18"/>
              </w:rPr>
              <w:t>2 CFR 200.310 (Insurance coverage)</w:t>
            </w:r>
          </w:p>
        </w:tc>
      </w:tr>
      <w:tr>
        <w:tc>
          <w:tcPr>
            <w:tcW w:type="dxa" w:w="2160"/>
            <w:shd w:val="clear" w:color="auto" w:fill="F2F2F2"/>
            <w:vAlign w:val="center"/>
          </w:tcPr>
          <w:p>
            <w:r>
              <w:rPr>
                <w:b w:val="0"/>
                <w:i w:val="0"/>
                <w:sz w:val="18"/>
              </w:rPr>
              <w:t>Term ceiling vs. useful life and federal-interest period</w:t>
            </w:r>
          </w:p>
        </w:tc>
        <w:tc>
          <w:tcPr>
            <w:tcW w:type="dxa" w:w="2160"/>
            <w:shd w:val="clear" w:color="auto" w:fill="F2F2F2"/>
            <w:vAlign w:val="center"/>
          </w:tcPr>
          <w:p>
            <w:r>
              <w:rPr>
                <w:b w:val="0"/>
                <w:i w:val="0"/>
                <w:sz w:val="18"/>
              </w:rPr>
              <w:t>A 20-year + renewals term may exceed permissible ceilings.</w:t>
            </w:r>
          </w:p>
        </w:tc>
        <w:tc>
          <w:tcPr>
            <w:tcW w:type="dxa" w:w="2880"/>
            <w:shd w:val="clear" w:color="auto" w:fill="F2F2F2"/>
            <w:vAlign w:val="center"/>
          </w:tcPr>
          <w:p>
            <w:r>
              <w:rPr>
                <w:b w:val="0"/>
                <w:i w:val="0"/>
                <w:sz w:val="18"/>
              </w:rPr>
              <w:t xml:space="preserve">Cap term at the useful life of the Grant-Funded Assets, the duration of the underlying land/access rights, the Federal Interest period, and the controlling Award. </w:t>
            </w:r>
            <w:r>
              <w:rPr>
                <w:b/>
                <w:i w:val="0"/>
                <w:color w:val="0000C0"/>
                <w:sz w:val="18"/>
              </w:rPr>
              <w:t>[ATTORNEY REVIEW REQUIRED]</w:t>
            </w:r>
          </w:p>
        </w:tc>
        <w:tc>
          <w:tcPr>
            <w:tcW w:type="dxa" w:w="2160"/>
            <w:shd w:val="clear" w:color="auto" w:fill="F2F2F2"/>
            <w:vAlign w:val="center"/>
          </w:tcPr>
          <w:p>
            <w:r>
              <w:rPr>
                <w:b w:val="0"/>
                <w:i w:val="0"/>
                <w:sz w:val="18"/>
              </w:rPr>
              <w:t>2 CFR 200.313 (Equipment — use, management, and disposition)</w:t>
            </w:r>
          </w:p>
        </w:tc>
      </w:tr>
    </w:tbl>
    <w:p/>
    <w:p>
      <w:pPr>
        <w:pStyle w:val="Heading1"/>
        <w:spacing w:before="240" w:after="120"/>
      </w:pPr>
      <w:r>
        <w:rPr>
          <w:rFonts w:ascii="Calibri" w:hAnsi="Calibri"/>
          <w:b/>
          <w:color w:val="1F3864"/>
          <w:sz w:val="26"/>
        </w:rPr>
        <w:t>ARTICLE 3.  REQUIRED NTIA / GRANTS-OFFICER WRITTEN DETERMINATIONS</w:t>
      </w:r>
    </w:p>
    <w:p>
      <w:r>
        <w:rPr>
          <w:b w:val="0"/>
          <w:i w:val="0"/>
        </w:rPr>
        <w:t>The following written determinations should be requested from NTIA / the grants officer before the corresponding provisions are finalized. See Document 09 for the structured request.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04"/>
            <w:shd w:val="clear" w:color="auto" w:fill="1F3864"/>
            <w:vAlign w:val="center"/>
          </w:tcPr>
          <w:p>
            <w:pPr>
              <w:jc w:val="center"/>
            </w:pPr>
            <w:r>
              <w:rPr>
                <w:b/>
                <w:color w:val="FFFFFF"/>
                <w:sz w:val="18"/>
              </w:rPr>
              <w:t>#</w:t>
            </w:r>
          </w:p>
        </w:tc>
        <w:tc>
          <w:tcPr>
            <w:tcW w:type="dxa" w:w="2448"/>
            <w:shd w:val="clear" w:color="auto" w:fill="1F3864"/>
            <w:vAlign w:val="center"/>
          </w:tcPr>
          <w:p>
            <w:pPr>
              <w:jc w:val="center"/>
            </w:pPr>
            <w:r>
              <w:rPr>
                <w:b/>
                <w:color w:val="FFFFFF"/>
                <w:sz w:val="18"/>
              </w:rPr>
              <w:t>Determination Needed</w:t>
            </w:r>
          </w:p>
        </w:tc>
        <w:tc>
          <w:tcPr>
            <w:tcW w:type="dxa" w:w="2880"/>
            <w:shd w:val="clear" w:color="auto" w:fill="1F3864"/>
            <w:vAlign w:val="center"/>
          </w:tcPr>
          <w:p>
            <w:pPr>
              <w:jc w:val="center"/>
            </w:pPr>
            <w:r>
              <w:rPr>
                <w:b/>
                <w:color w:val="FFFFFF"/>
                <w:sz w:val="18"/>
              </w:rPr>
              <w:t>Why It Matters</w:t>
            </w:r>
          </w:p>
        </w:tc>
        <w:tc>
          <w:tcPr>
            <w:tcW w:type="dxa" w:w="3528"/>
            <w:shd w:val="clear" w:color="auto" w:fill="1F3864"/>
            <w:vAlign w:val="center"/>
          </w:tcPr>
          <w:p>
            <w:pPr>
              <w:jc w:val="center"/>
            </w:pPr>
            <w:r>
              <w:rPr>
                <w:b/>
                <w:color w:val="FFFFFF"/>
                <w:sz w:val="18"/>
              </w:rPr>
              <w:t>Provisional Structure / Fallback</w:t>
            </w:r>
          </w:p>
        </w:tc>
      </w:tr>
      <w:tr>
        <w:tc>
          <w:tcPr>
            <w:tcW w:type="dxa" w:w="504"/>
            <w:vAlign w:val="center"/>
          </w:tcPr>
          <w:p>
            <w:pPr>
              <w:jc w:val="center"/>
            </w:pPr>
            <w:r>
              <w:rPr>
                <w:b w:val="0"/>
                <w:i w:val="0"/>
                <w:sz w:val="18"/>
              </w:rPr>
              <w:t>1</w:t>
            </w:r>
          </w:p>
        </w:tc>
        <w:tc>
          <w:tcPr>
            <w:tcW w:type="dxa" w:w="2448"/>
            <w:vAlign w:val="center"/>
          </w:tcPr>
          <w:p>
            <w:r>
              <w:rPr>
                <w:b w:val="0"/>
                <w:i w:val="0"/>
                <w:sz w:val="18"/>
              </w:rPr>
              <w:t>IRU grant to RIVR Tech over Grant-Funded Assets</w:t>
            </w:r>
          </w:p>
        </w:tc>
        <w:tc>
          <w:tcPr>
            <w:tcW w:type="dxa" w:w="2880"/>
            <w:vAlign w:val="center"/>
          </w:tcPr>
          <w:p>
            <w:r>
              <w:rPr>
                <w:b w:val="0"/>
                <w:i w:val="0"/>
                <w:sz w:val="18"/>
              </w:rPr>
              <w:t>Long-term rights over federally funded assets may require approval.</w:t>
            </w:r>
          </w:p>
        </w:tc>
        <w:tc>
          <w:tcPr>
            <w:tcW w:type="dxa" w:w="3528"/>
            <w:vAlign w:val="center"/>
          </w:tcPr>
          <w:p>
            <w:r>
              <w:rPr>
                <w:b w:val="0"/>
                <w:i w:val="0"/>
                <w:sz w:val="18"/>
              </w:rPr>
              <w:t>Structure as IRU limited to defined capacity within federal-interest period; fallback: capacity lease/license. 2 CFR 200.315 (Intangible property)</w:t>
            </w:r>
          </w:p>
        </w:tc>
      </w:tr>
      <w:tr>
        <w:tc>
          <w:tcPr>
            <w:tcW w:type="dxa" w:w="504"/>
            <w:shd w:val="clear" w:color="auto" w:fill="F2F2F2"/>
            <w:vAlign w:val="center"/>
          </w:tcPr>
          <w:p>
            <w:pPr>
              <w:jc w:val="center"/>
            </w:pPr>
            <w:r>
              <w:rPr>
                <w:b w:val="0"/>
                <w:i w:val="0"/>
                <w:sz w:val="18"/>
              </w:rPr>
              <w:t>2</w:t>
            </w:r>
          </w:p>
        </w:tc>
        <w:tc>
          <w:tcPr>
            <w:tcW w:type="dxa" w:w="2448"/>
            <w:shd w:val="clear" w:color="auto" w:fill="F2F2F2"/>
            <w:vAlign w:val="center"/>
          </w:tcPr>
          <w:p>
            <w:r>
              <w:rPr>
                <w:b w:val="0"/>
                <w:i w:val="0"/>
                <w:sz w:val="18"/>
              </w:rPr>
              <w:t>Operating appointment / operator role</w:t>
            </w:r>
          </w:p>
        </w:tc>
        <w:tc>
          <w:tcPr>
            <w:tcW w:type="dxa" w:w="2880"/>
            <w:shd w:val="clear" w:color="auto" w:fill="F2F2F2"/>
            <w:vAlign w:val="center"/>
          </w:tcPr>
          <w:p>
            <w:r>
              <w:rPr>
                <w:b w:val="0"/>
                <w:i w:val="0"/>
                <w:sz w:val="18"/>
              </w:rPr>
              <w:t>Operator role over grant-funded network must be permissible.</w:t>
            </w:r>
          </w:p>
        </w:tc>
        <w:tc>
          <w:tcPr>
            <w:tcW w:type="dxa" w:w="3528"/>
            <w:shd w:val="clear" w:color="auto" w:fill="F2F2F2"/>
            <w:vAlign w:val="center"/>
          </w:tcPr>
          <w:p>
            <w:r>
              <w:rPr>
                <w:b w:val="0"/>
                <w:i w:val="0"/>
                <w:sz w:val="18"/>
              </w:rPr>
              <w:t>Appoint via O&amp;M agreement; fallback: management agreement with Tribe retaining control. 2 CFR 200.313 (Equipment — use, management, and disposition)</w:t>
            </w:r>
          </w:p>
        </w:tc>
      </w:tr>
      <w:tr>
        <w:tc>
          <w:tcPr>
            <w:tcW w:type="dxa" w:w="504"/>
            <w:vAlign w:val="center"/>
          </w:tcPr>
          <w:p>
            <w:pPr>
              <w:jc w:val="center"/>
            </w:pPr>
            <w:r>
              <w:rPr>
                <w:b w:val="0"/>
                <w:i w:val="0"/>
                <w:sz w:val="18"/>
              </w:rPr>
              <w:t>3</w:t>
            </w:r>
          </w:p>
        </w:tc>
        <w:tc>
          <w:tcPr>
            <w:tcW w:type="dxa" w:w="2448"/>
            <w:vAlign w:val="center"/>
          </w:tcPr>
          <w:p>
            <w:r>
              <w:rPr>
                <w:b w:val="0"/>
                <w:i w:val="0"/>
                <w:sz w:val="18"/>
              </w:rPr>
              <w:t>Interconnection arrangement</w:t>
            </w:r>
          </w:p>
        </w:tc>
        <w:tc>
          <w:tcPr>
            <w:tcW w:type="dxa" w:w="2880"/>
            <w:vAlign w:val="center"/>
          </w:tcPr>
          <w:p>
            <w:r>
              <w:rPr>
                <w:b w:val="0"/>
                <w:i w:val="0"/>
                <w:sz w:val="18"/>
              </w:rPr>
              <w:t>Interconnection to existing networks affects asset boundaries and cost.</w:t>
            </w:r>
          </w:p>
        </w:tc>
        <w:tc>
          <w:tcPr>
            <w:tcW w:type="dxa" w:w="3528"/>
            <w:vAlign w:val="center"/>
          </w:tcPr>
          <w:p>
            <w:r>
              <w:rPr>
                <w:b w:val="0"/>
                <w:i w:val="0"/>
                <w:sz w:val="18"/>
              </w:rPr>
              <w:t>Defined POIs and transport terms; fallback: arm's-length transport agreement. 2 CFR 200.313 (Equipment — use, management, and disposition)</w:t>
            </w:r>
          </w:p>
        </w:tc>
      </w:tr>
      <w:tr>
        <w:tc>
          <w:tcPr>
            <w:tcW w:type="dxa" w:w="504"/>
            <w:shd w:val="clear" w:color="auto" w:fill="F2F2F2"/>
            <w:vAlign w:val="center"/>
          </w:tcPr>
          <w:p>
            <w:pPr>
              <w:jc w:val="center"/>
            </w:pPr>
            <w:r>
              <w:rPr>
                <w:b w:val="0"/>
                <w:i w:val="0"/>
                <w:sz w:val="18"/>
              </w:rPr>
              <w:t>4</w:t>
            </w:r>
          </w:p>
        </w:tc>
        <w:tc>
          <w:tcPr>
            <w:tcW w:type="dxa" w:w="2448"/>
            <w:shd w:val="clear" w:color="auto" w:fill="F2F2F2"/>
            <w:vAlign w:val="center"/>
          </w:tcPr>
          <w:p>
            <w:r>
              <w:rPr>
                <w:b w:val="0"/>
                <w:i w:val="0"/>
                <w:sz w:val="18"/>
              </w:rPr>
              <w:t>Use of existing (non-grant) RIVR Tech assets in the project</w:t>
            </w:r>
          </w:p>
        </w:tc>
        <w:tc>
          <w:tcPr>
            <w:tcW w:type="dxa" w:w="2880"/>
            <w:shd w:val="clear" w:color="auto" w:fill="F2F2F2"/>
            <w:vAlign w:val="center"/>
          </w:tcPr>
          <w:p>
            <w:r>
              <w:rPr>
                <w:b w:val="0"/>
                <w:i w:val="0"/>
                <w:sz w:val="18"/>
              </w:rPr>
              <w:t>Prevents free contribution / unallowable cost.</w:t>
            </w:r>
          </w:p>
        </w:tc>
        <w:tc>
          <w:tcPr>
            <w:tcW w:type="dxa" w:w="3528"/>
            <w:shd w:val="clear" w:color="auto" w:fill="F2F2F2"/>
            <w:vAlign w:val="center"/>
          </w:tcPr>
          <w:p>
            <w:r>
              <w:rPr>
                <w:b w:val="0"/>
                <w:i w:val="0"/>
                <w:sz w:val="18"/>
              </w:rPr>
              <w:t>Value and cost-allocate; fallback: exclude from project or lease at documented rate. 2 CFR Part 200, Subpart E (Cost Principles — allowability, allocability, reasonableness)</w:t>
            </w:r>
          </w:p>
        </w:tc>
      </w:tr>
      <w:tr>
        <w:tc>
          <w:tcPr>
            <w:tcW w:type="dxa" w:w="504"/>
            <w:vAlign w:val="center"/>
          </w:tcPr>
          <w:p>
            <w:pPr>
              <w:jc w:val="center"/>
            </w:pPr>
            <w:r>
              <w:rPr>
                <w:b w:val="0"/>
                <w:i w:val="0"/>
                <w:sz w:val="18"/>
              </w:rPr>
              <w:t>5</w:t>
            </w:r>
          </w:p>
        </w:tc>
        <w:tc>
          <w:tcPr>
            <w:tcW w:type="dxa" w:w="2448"/>
            <w:vAlign w:val="center"/>
          </w:tcPr>
          <w:p>
            <w:r>
              <w:rPr>
                <w:b w:val="0"/>
                <w:i w:val="0"/>
                <w:sz w:val="18"/>
              </w:rPr>
              <w:t>Customer receipts / revenue handling</w:t>
            </w:r>
          </w:p>
        </w:tc>
        <w:tc>
          <w:tcPr>
            <w:tcW w:type="dxa" w:w="2880"/>
            <w:vAlign w:val="center"/>
          </w:tcPr>
          <w:p>
            <w:r>
              <w:rPr>
                <w:b w:val="0"/>
                <w:i w:val="0"/>
                <w:sz w:val="18"/>
              </w:rPr>
              <w:t>Determines who collects and how receipts are retained.</w:t>
            </w:r>
          </w:p>
        </w:tc>
        <w:tc>
          <w:tcPr>
            <w:tcW w:type="dxa" w:w="3528"/>
            <w:vAlign w:val="center"/>
          </w:tcPr>
          <w:p>
            <w:r>
              <w:rPr>
                <w:b w:val="0"/>
                <w:i w:val="0"/>
                <w:sz w:val="18"/>
              </w:rPr>
              <w:t>RIVR Tech collects as provider of record with segregated records; fallback: Tribe-controlled account. 2 CFR 200.334–200.337 (Record retention and access; three-year retention)</w:t>
            </w:r>
          </w:p>
        </w:tc>
      </w:tr>
      <w:tr>
        <w:tc>
          <w:tcPr>
            <w:tcW w:type="dxa" w:w="504"/>
            <w:shd w:val="clear" w:color="auto" w:fill="F2F2F2"/>
            <w:vAlign w:val="center"/>
          </w:tcPr>
          <w:p>
            <w:pPr>
              <w:jc w:val="center"/>
            </w:pPr>
            <w:r>
              <w:rPr>
                <w:b w:val="0"/>
                <w:i w:val="0"/>
                <w:sz w:val="18"/>
              </w:rPr>
              <w:t>6</w:t>
            </w:r>
          </w:p>
        </w:tc>
        <w:tc>
          <w:tcPr>
            <w:tcW w:type="dxa" w:w="2448"/>
            <w:shd w:val="clear" w:color="auto" w:fill="F2F2F2"/>
            <w:vAlign w:val="center"/>
          </w:tcPr>
          <w:p>
            <w:r>
              <w:rPr>
                <w:b w:val="0"/>
                <w:i w:val="0"/>
                <w:sz w:val="18"/>
              </w:rPr>
              <w:t>Per-subscriber payment characterization (program income)</w:t>
            </w:r>
          </w:p>
        </w:tc>
        <w:tc>
          <w:tcPr>
            <w:tcW w:type="dxa" w:w="2880"/>
            <w:shd w:val="clear" w:color="auto" w:fill="F2F2F2"/>
            <w:vAlign w:val="center"/>
          </w:tcPr>
          <w:p>
            <w:r>
              <w:rPr>
                <w:b w:val="0"/>
                <w:i w:val="0"/>
                <w:sz w:val="18"/>
              </w:rPr>
              <w:t>Program-income treatment turns on the Award, not the label.</w:t>
            </w:r>
          </w:p>
        </w:tc>
        <w:tc>
          <w:tcPr>
            <w:tcW w:type="dxa" w:w="3528"/>
            <w:shd w:val="clear" w:color="auto" w:fill="F2F2F2"/>
            <w:vAlign w:val="center"/>
          </w:tcPr>
          <w:p>
            <w:r>
              <w:rPr>
                <w:b w:val="0"/>
                <w:i w:val="0"/>
                <w:sz w:val="18"/>
              </w:rPr>
              <w:t>Option D per-Active-Subscriber operating payment; fallback: Options A/B/C/E. 2 CFR 200.307 (Program income)</w:t>
            </w:r>
          </w:p>
        </w:tc>
      </w:tr>
      <w:tr>
        <w:tc>
          <w:tcPr>
            <w:tcW w:type="dxa" w:w="504"/>
            <w:vAlign w:val="center"/>
          </w:tcPr>
          <w:p>
            <w:pPr>
              <w:jc w:val="center"/>
            </w:pPr>
            <w:r>
              <w:rPr>
                <w:b w:val="0"/>
                <w:i w:val="0"/>
                <w:sz w:val="18"/>
              </w:rPr>
              <w:t>7</w:t>
            </w:r>
          </w:p>
        </w:tc>
        <w:tc>
          <w:tcPr>
            <w:tcW w:type="dxa" w:w="2448"/>
            <w:vAlign w:val="center"/>
          </w:tcPr>
          <w:p>
            <w:r>
              <w:rPr>
                <w:b w:val="0"/>
                <w:i w:val="0"/>
                <w:sz w:val="18"/>
              </w:rPr>
              <w:t>Commercial / non-project capacity use</w:t>
            </w:r>
          </w:p>
        </w:tc>
        <w:tc>
          <w:tcPr>
            <w:tcW w:type="dxa" w:w="2880"/>
            <w:vAlign w:val="center"/>
          </w:tcPr>
          <w:p>
            <w:r>
              <w:rPr>
                <w:b w:val="0"/>
                <w:i w:val="0"/>
                <w:sz w:val="18"/>
              </w:rPr>
              <w:t>Commercial use of grant capacity may generate program income or be prohibited.</w:t>
            </w:r>
          </w:p>
        </w:tc>
        <w:tc>
          <w:tcPr>
            <w:tcW w:type="dxa" w:w="3528"/>
            <w:vAlign w:val="center"/>
          </w:tcPr>
          <w:p>
            <w:r>
              <w:rPr>
                <w:b w:val="0"/>
                <w:i w:val="0"/>
                <w:sz w:val="18"/>
              </w:rPr>
              <w:t>Define reserved commercial capacity, valued and approved; fallback: no commercial use. 2 CFR 200.307 (Program income)</w:t>
            </w:r>
          </w:p>
        </w:tc>
      </w:tr>
      <w:tr>
        <w:tc>
          <w:tcPr>
            <w:tcW w:type="dxa" w:w="504"/>
            <w:shd w:val="clear" w:color="auto" w:fill="F2F2F2"/>
            <w:vAlign w:val="center"/>
          </w:tcPr>
          <w:p>
            <w:pPr>
              <w:jc w:val="center"/>
            </w:pPr>
            <w:r>
              <w:rPr>
                <w:b w:val="0"/>
                <w:i w:val="0"/>
                <w:sz w:val="18"/>
              </w:rPr>
              <w:t>8</w:t>
            </w:r>
          </w:p>
        </w:tc>
        <w:tc>
          <w:tcPr>
            <w:tcW w:type="dxa" w:w="2448"/>
            <w:shd w:val="clear" w:color="auto" w:fill="F2F2F2"/>
            <w:vAlign w:val="center"/>
          </w:tcPr>
          <w:p>
            <w:r>
              <w:rPr>
                <w:b w:val="0"/>
                <w:i w:val="0"/>
                <w:sz w:val="18"/>
              </w:rPr>
              <w:t>Contractor pricing / margin reasonableness</w:t>
            </w:r>
          </w:p>
        </w:tc>
        <w:tc>
          <w:tcPr>
            <w:tcW w:type="dxa" w:w="2880"/>
            <w:shd w:val="clear" w:color="auto" w:fill="F2F2F2"/>
            <w:vAlign w:val="center"/>
          </w:tcPr>
          <w:p>
            <w:r>
              <w:rPr>
                <w:b w:val="0"/>
                <w:i w:val="0"/>
                <w:sz w:val="18"/>
              </w:rPr>
              <w:t>Costs must be reasonable and allowable.</w:t>
            </w:r>
          </w:p>
        </w:tc>
        <w:tc>
          <w:tcPr>
            <w:tcW w:type="dxa" w:w="3528"/>
            <w:shd w:val="clear" w:color="auto" w:fill="F2F2F2"/>
            <w:vAlign w:val="center"/>
          </w:tcPr>
          <w:p>
            <w:r>
              <w:rPr>
                <w:b w:val="0"/>
                <w:i w:val="0"/>
                <w:sz w:val="18"/>
              </w:rPr>
              <w:t>Cost/price analysis on record; fallback: renegotiate or competitively re-solicit. 2 CFR 200.317–200.327 (Procurement standards)</w:t>
            </w:r>
          </w:p>
        </w:tc>
      </w:tr>
      <w:tr>
        <w:tc>
          <w:tcPr>
            <w:tcW w:type="dxa" w:w="504"/>
            <w:vAlign w:val="center"/>
          </w:tcPr>
          <w:p>
            <w:pPr>
              <w:jc w:val="center"/>
            </w:pPr>
            <w:r>
              <w:rPr>
                <w:b w:val="0"/>
                <w:i w:val="0"/>
                <w:sz w:val="18"/>
              </w:rPr>
              <w:t>9</w:t>
            </w:r>
          </w:p>
        </w:tc>
        <w:tc>
          <w:tcPr>
            <w:tcW w:type="dxa" w:w="2448"/>
            <w:vAlign w:val="center"/>
          </w:tcPr>
          <w:p>
            <w:r>
              <w:rPr>
                <w:b w:val="0"/>
                <w:i w:val="0"/>
                <w:sz w:val="18"/>
              </w:rPr>
              <w:t>Out-of-scope service</w:t>
            </w:r>
          </w:p>
        </w:tc>
        <w:tc>
          <w:tcPr>
            <w:tcW w:type="dxa" w:w="2880"/>
            <w:vAlign w:val="center"/>
          </w:tcPr>
          <w:p>
            <w:r>
              <w:rPr>
                <w:b w:val="0"/>
                <w:i w:val="0"/>
                <w:sz w:val="18"/>
              </w:rPr>
              <w:t>Services beyond approved scope may be unallowable or need approval.</w:t>
            </w:r>
          </w:p>
        </w:tc>
        <w:tc>
          <w:tcPr>
            <w:tcW w:type="dxa" w:w="3528"/>
            <w:vAlign w:val="center"/>
          </w:tcPr>
          <w:p>
            <w:r>
              <w:rPr>
                <w:b w:val="0"/>
                <w:i w:val="0"/>
                <w:sz w:val="18"/>
              </w:rPr>
              <w:t>Confine to approved scope; fallback: separate non-grant commercial arrangement. 2 CFR Part 200, Subpart E (Cost Principles — allowability, allocability, reasonableness)</w:t>
            </w:r>
          </w:p>
        </w:tc>
      </w:tr>
    </w:tbl>
    <w:p>
      <w:pPr>
        <w:ind w:left="504"/>
      </w:pPr>
      <w:r>
        <w:rPr>
          <w:b/>
          <w:color w:val="7F007F"/>
        </w:rPr>
        <w:t xml:space="preserve">[GRANT COMPLIANCE REVIEW REQUIRED]  </w:t>
      </w:r>
      <w:r>
        <w:rPr>
          <w:i/>
          <w:color w:val="595959"/>
        </w:rPr>
        <w:t>No determination above has been obtained. Each is PENDING and must be secured in writing before the related clause is finalized.</w:t>
      </w:r>
    </w:p>
    <w:p>
      <w:pPr>
        <w:pStyle w:val="Heading1"/>
        <w:spacing w:before="240" w:after="120"/>
      </w:pPr>
      <w:r>
        <w:rPr>
          <w:rFonts w:ascii="Calibri" w:hAnsi="Calibri"/>
          <w:b/>
          <w:color w:val="1F3864"/>
          <w:sz w:val="26"/>
        </w:rPr>
        <w:t>ARTICLE 4.  CLOSING DISCLAIMER AND RESERVATION</w:t>
      </w:r>
    </w:p>
    <w:p>
      <w:r>
        <w:rPr>
          <w:b w:val="0"/>
          <w:i/>
        </w:rPr>
        <w:t>These drafts are provided for business planning and attorney review only. They are preliminary, non-binding, incomplete, and prepared without any controlling TBCP award or source documents. The provisional baseline is the March 2024 amended Round 2 NOFO; Round 3 is the live TBCP round as of the version date, and the controlling round and executed award must be confirmed before anything here is finalized. Every bracketed item, highlighted placeholder, and flagged provision requires confirmation by qualified counsel, grant, financial, and technical advisors. Nothing in these drafts constitutes legal, financial, tax, or grant-compliance advice, creates any binding obligation, or waives any right, remedy, or sovereign immunity. In the event of any conflict, the executed TBCP award, applicable federal and state law, and any required governmental consent control; nothing in these drafts may be relied upon to supersede the TBCP award, applicable law, or required governmental consent.</w:t>
      </w:r>
    </w:p>
    <w:p>
      <w:pPr>
        <w:ind w:left="504"/>
      </w:pPr>
      <w:r>
        <w:rPr>
          <w:b/>
          <w:color w:val="0000C0"/>
        </w:rPr>
        <w:t xml:space="preserve">[ATTORNEY REVIEW REQUIRED]  </w:t>
      </w:r>
      <w:r>
        <w:rPr>
          <w:i/>
          <w:color w:val="595959"/>
        </w:rPr>
        <w:t>This document is attorney work product prepared for the common interest of the Lumbee Tribe and RIVR Tech; it is not final legal advice and must be reviewed and completed by qualified counsel before use.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Red-Flag Memo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