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DOCUMENT 04 — CONTRACTOR VS. SUBRECIPIENT ANALYSIS</w:t>
      </w:r>
    </w:p>
    <w:p>
      <w:pPr>
        <w:jc w:val="center"/>
      </w:pPr>
      <w:r>
        <w:rPr>
          <w:b/>
          <w:color w:val="1F3864"/>
          <w:sz w:val="48"/>
        </w:rPr>
        <w:t>Contractor vs. Subrecipient Analysis</w:t>
      </w:r>
    </w:p>
    <w:p>
      <w:pPr>
        <w:jc w:val="center"/>
      </w:pPr>
      <w:r>
        <w:rPr>
          <w:color w:val="595959"/>
          <w:sz w:val="28"/>
        </w:rPr>
        <w:t>Phase 1 Diligence — 2 CFR 200.331 Substance Determination for RIVR Tech</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pPr>
        <w:pStyle w:val="Heading1"/>
        <w:spacing w:before="240" w:after="120"/>
      </w:pPr>
      <w:r>
        <w:rPr>
          <w:rFonts w:ascii="Calibri" w:hAnsi="Calibri"/>
          <w:b/>
          <w:color w:val="1F3864"/>
          <w:sz w:val="26"/>
        </w:rPr>
        <w:t>ARTICLE 1.  PURPOSE AND STANDARD</w:t>
      </w:r>
    </w:p>
    <w:p>
      <w:r>
        <w:rPr>
          <w:b w:val="0"/>
          <w:i w:val="0"/>
        </w:rPr>
        <w:t>This document analyzes whether LREMC Technologies, LLC d/b/a RIVR Tech (RIVR Tech) should be treated as a subrecipient or a contractor under 2 CFR 200.331 (Subrecipient and contractor determinations). The classification turns on the substance of the relationship, not the form or title of the instrument. No executed TBCP award, CD-450 Financial Assistance Award, Notice of Funding Opportunity PDF, Specific Award Conditions, Tribal resolution, title/easement record, or existing RIVR Tech / LREMC contract was supplied for this work product. All conclusions are provisional and keyed to the assumptions register in Document 01.</w:t>
      </w:r>
    </w:p>
    <w:p>
      <w:r>
        <w:rPr>
          <w:b w:val="0"/>
          <w:i w:val="0"/>
        </w:rPr>
        <w:t>A subrecipient carries out a portion of the federal program for a public purpose and is subject to program compliance requirements; a contractor provides goods or services, within its normal business operations, to many purchasers, in a competitive environment, ancillary to the program.</w:t>
      </w:r>
    </w:p>
    <w:p>
      <w:pPr>
        <w:pStyle w:val="Heading1"/>
        <w:spacing w:before="240" w:after="120"/>
      </w:pPr>
      <w:r>
        <w:rPr>
          <w:rFonts w:ascii="Calibri" w:hAnsi="Calibri"/>
          <w:b/>
          <w:color w:val="1F3864"/>
          <w:sz w:val="26"/>
        </w:rPr>
        <w:t>ARTICLE 2.  SUBSTANCE ANALYSIS (2 CFR 200.331)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864"/>
            <w:vAlign w:val="center"/>
          </w:tcPr>
          <w:p>
            <w:pPr>
              <w:jc w:val="center"/>
            </w:pPr>
            <w:r>
              <w:rPr>
                <w:b/>
                <w:color w:val="FFFFFF"/>
                <w:sz w:val="18"/>
              </w:rPr>
              <w:t>Subrecipient Characteristic (200.331(a))</w:t>
            </w:r>
          </w:p>
        </w:tc>
        <w:tc>
          <w:tcPr>
            <w:tcW w:type="dxa" w:w="2304"/>
            <w:shd w:val="clear" w:color="auto" w:fill="1F3864"/>
            <w:vAlign w:val="center"/>
          </w:tcPr>
          <w:p>
            <w:pPr>
              <w:jc w:val="center"/>
            </w:pPr>
            <w:r>
              <w:rPr>
                <w:b/>
                <w:color w:val="FFFFFF"/>
                <w:sz w:val="18"/>
              </w:rPr>
              <w:t>Contractor Characteristic (200.331(b))</w:t>
            </w:r>
          </w:p>
        </w:tc>
        <w:tc>
          <w:tcPr>
            <w:tcW w:type="dxa" w:w="3312"/>
            <w:shd w:val="clear" w:color="auto" w:fill="1F3864"/>
            <w:vAlign w:val="center"/>
          </w:tcPr>
          <w:p>
            <w:pPr>
              <w:jc w:val="center"/>
            </w:pPr>
            <w:r>
              <w:rPr>
                <w:b/>
                <w:color w:val="FFFFFF"/>
                <w:sz w:val="18"/>
              </w:rPr>
              <w:t>Application to RIVR Tech</w:t>
            </w:r>
          </w:p>
        </w:tc>
        <w:tc>
          <w:tcPr>
            <w:tcW w:type="dxa" w:w="1440"/>
            <w:shd w:val="clear" w:color="auto" w:fill="1F3864"/>
            <w:vAlign w:val="center"/>
          </w:tcPr>
          <w:p>
            <w:pPr>
              <w:jc w:val="center"/>
            </w:pPr>
            <w:r>
              <w:rPr>
                <w:b/>
                <w:color w:val="FFFFFF"/>
                <w:sz w:val="18"/>
              </w:rPr>
              <w:t>Points Toward</w:t>
            </w:r>
          </w:p>
        </w:tc>
      </w:tr>
      <w:tr>
        <w:tc>
          <w:tcPr>
            <w:tcW w:type="dxa" w:w="2304"/>
            <w:vAlign w:val="center"/>
          </w:tcPr>
          <w:p>
            <w:r>
              <w:rPr>
                <w:b w:val="0"/>
                <w:i w:val="0"/>
                <w:sz w:val="18"/>
              </w:rPr>
              <w:t>Determines eligibility for federal assistance</w:t>
            </w:r>
          </w:p>
        </w:tc>
        <w:tc>
          <w:tcPr>
            <w:tcW w:type="dxa" w:w="2304"/>
            <w:vAlign w:val="center"/>
          </w:tcPr>
          <w:p>
            <w:r>
              <w:rPr>
                <w:b w:val="0"/>
                <w:i w:val="0"/>
                <w:sz w:val="18"/>
              </w:rPr>
              <w:t>Provides goods/services within normal business operations</w:t>
            </w:r>
          </w:p>
        </w:tc>
        <w:tc>
          <w:tcPr>
            <w:tcW w:type="dxa" w:w="3312"/>
            <w:vAlign w:val="center"/>
          </w:tcPr>
          <w:p>
            <w:r>
              <w:rPr>
                <w:b w:val="0"/>
                <w:i w:val="0"/>
                <w:sz w:val="18"/>
              </w:rPr>
              <w:t xml:space="preserve">RIVR Tech does not determine eligibility; the Tribe (recipient) does. RIVR Tech deploys and operates as its business. </w:t>
            </w:r>
            <w:r>
              <w:rPr>
                <w:b w:val="0"/>
                <w:i w:val="0"/>
                <w:color w:val="804000"/>
                <w:sz w:val="18"/>
                <w:highlight w:val="yellow"/>
              </w:rPr>
              <w:t>[■ confirm against approved application]</w:t>
            </w:r>
          </w:p>
        </w:tc>
        <w:tc>
          <w:tcPr>
            <w:tcW w:type="dxa" w:w="1440"/>
            <w:vAlign w:val="center"/>
          </w:tcPr>
          <w:p>
            <w:pPr>
              <w:jc w:val="center"/>
            </w:pPr>
            <w:r>
              <w:rPr>
                <w:b w:val="0"/>
                <w:i w:val="0"/>
                <w:sz w:val="18"/>
              </w:rPr>
              <w:t>CONTRACTOR</w:t>
            </w:r>
          </w:p>
        </w:tc>
      </w:tr>
      <w:tr>
        <w:tc>
          <w:tcPr>
            <w:tcW w:type="dxa" w:w="2304"/>
            <w:shd w:val="clear" w:color="auto" w:fill="F2F2F2"/>
            <w:vAlign w:val="center"/>
          </w:tcPr>
          <w:p>
            <w:r>
              <w:rPr>
                <w:b w:val="0"/>
                <w:i w:val="0"/>
                <w:sz w:val="18"/>
              </w:rPr>
              <w:t>Has performance measured against program objectives</w:t>
            </w:r>
          </w:p>
        </w:tc>
        <w:tc>
          <w:tcPr>
            <w:tcW w:type="dxa" w:w="2304"/>
            <w:shd w:val="clear" w:color="auto" w:fill="F2F2F2"/>
            <w:vAlign w:val="center"/>
          </w:tcPr>
          <w:p>
            <w:r>
              <w:rPr>
                <w:b w:val="0"/>
                <w:i w:val="0"/>
                <w:sz w:val="18"/>
              </w:rPr>
              <w:t>Provides similar goods/services to many purchasers</w:t>
            </w:r>
          </w:p>
        </w:tc>
        <w:tc>
          <w:tcPr>
            <w:tcW w:type="dxa" w:w="3312"/>
            <w:shd w:val="clear" w:color="auto" w:fill="F2F2F2"/>
            <w:vAlign w:val="center"/>
          </w:tcPr>
          <w:p>
            <w:r>
              <w:rPr>
                <w:b w:val="0"/>
                <w:i w:val="0"/>
                <w:sz w:val="18"/>
              </w:rPr>
              <w:t xml:space="preserve">RIVR Tech provides broadband deployment/operations of a kind sold to multiple customers; measured against a scope of work. </w:t>
            </w:r>
            <w:r>
              <w:rPr>
                <w:b w:val="0"/>
                <w:i w:val="0"/>
                <w:color w:val="804000"/>
                <w:sz w:val="18"/>
                <w:highlight w:val="yellow"/>
              </w:rPr>
              <w:t>[■ confirm existing customer base]</w:t>
            </w:r>
          </w:p>
        </w:tc>
        <w:tc>
          <w:tcPr>
            <w:tcW w:type="dxa" w:w="1440"/>
            <w:shd w:val="clear" w:color="auto" w:fill="F2F2F2"/>
            <w:vAlign w:val="center"/>
          </w:tcPr>
          <w:p>
            <w:pPr>
              <w:jc w:val="center"/>
            </w:pPr>
            <w:r>
              <w:rPr>
                <w:b w:val="0"/>
                <w:i w:val="0"/>
                <w:sz w:val="18"/>
              </w:rPr>
              <w:t>CONTRACTOR</w:t>
            </w:r>
          </w:p>
        </w:tc>
      </w:tr>
      <w:tr>
        <w:tc>
          <w:tcPr>
            <w:tcW w:type="dxa" w:w="2304"/>
            <w:vAlign w:val="center"/>
          </w:tcPr>
          <w:p>
            <w:r>
              <w:rPr>
                <w:b w:val="0"/>
                <w:i w:val="0"/>
                <w:sz w:val="18"/>
              </w:rPr>
              <w:t>Has responsibility for programmatic decision-making</w:t>
            </w:r>
          </w:p>
        </w:tc>
        <w:tc>
          <w:tcPr>
            <w:tcW w:type="dxa" w:w="2304"/>
            <w:vAlign w:val="center"/>
          </w:tcPr>
          <w:p>
            <w:r>
              <w:rPr>
                <w:b w:val="0"/>
                <w:i w:val="0"/>
                <w:sz w:val="18"/>
              </w:rPr>
              <w:t>Normally operates in a competitive environment</w:t>
            </w:r>
          </w:p>
        </w:tc>
        <w:tc>
          <w:tcPr>
            <w:tcW w:type="dxa" w:w="3312"/>
            <w:vAlign w:val="center"/>
          </w:tcPr>
          <w:p>
            <w:r>
              <w:rPr>
                <w:b w:val="0"/>
                <w:i w:val="0"/>
                <w:sz w:val="18"/>
              </w:rPr>
              <w:t xml:space="preserve">Programmatic decisions (scope, service commitments) remain with the Tribe; RIVR Tech executes. Competitive selection must be documented. </w:t>
            </w:r>
            <w:r>
              <w:rPr>
                <w:b/>
                <w:i w:val="0"/>
                <w:color w:val="7F007F"/>
                <w:sz w:val="18"/>
              </w:rPr>
              <w:t>[GRANT COMPLIANCE REVIEW REQUIRED]</w:t>
            </w:r>
          </w:p>
        </w:tc>
        <w:tc>
          <w:tcPr>
            <w:tcW w:type="dxa" w:w="1440"/>
            <w:vAlign w:val="center"/>
          </w:tcPr>
          <w:p>
            <w:pPr>
              <w:jc w:val="center"/>
            </w:pPr>
            <w:r>
              <w:rPr>
                <w:b w:val="0"/>
                <w:i w:val="0"/>
                <w:sz w:val="18"/>
              </w:rPr>
              <w:t>CONTRACTOR</w:t>
            </w:r>
          </w:p>
        </w:tc>
      </w:tr>
      <w:tr>
        <w:tc>
          <w:tcPr>
            <w:tcW w:type="dxa" w:w="2304"/>
            <w:shd w:val="clear" w:color="auto" w:fill="F2F2F2"/>
            <w:vAlign w:val="center"/>
          </w:tcPr>
          <w:p>
            <w:r>
              <w:rPr>
                <w:b w:val="0"/>
                <w:i w:val="0"/>
                <w:sz w:val="18"/>
              </w:rPr>
              <w:t>Responsible for adherence to federal program requirements</w:t>
            </w:r>
          </w:p>
        </w:tc>
        <w:tc>
          <w:tcPr>
            <w:tcW w:type="dxa" w:w="2304"/>
            <w:shd w:val="clear" w:color="auto" w:fill="F2F2F2"/>
            <w:vAlign w:val="center"/>
          </w:tcPr>
          <w:p>
            <w:r>
              <w:rPr>
                <w:b w:val="0"/>
                <w:i w:val="0"/>
                <w:sz w:val="18"/>
              </w:rPr>
              <w:t>Provides goods/services ancillary to program operation</w:t>
            </w:r>
          </w:p>
        </w:tc>
        <w:tc>
          <w:tcPr>
            <w:tcW w:type="dxa" w:w="3312"/>
            <w:shd w:val="clear" w:color="auto" w:fill="F2F2F2"/>
            <w:vAlign w:val="center"/>
          </w:tcPr>
          <w:p>
            <w:r>
              <w:rPr>
                <w:b w:val="0"/>
                <w:i w:val="0"/>
                <w:sz w:val="18"/>
              </w:rPr>
              <w:t>RIVR Tech must flow-down applicable clauses but is not the program steward; its services are ancillary to the Tribe's program.</w:t>
            </w:r>
          </w:p>
        </w:tc>
        <w:tc>
          <w:tcPr>
            <w:tcW w:type="dxa" w:w="1440"/>
            <w:shd w:val="clear" w:color="auto" w:fill="F2F2F2"/>
            <w:vAlign w:val="center"/>
          </w:tcPr>
          <w:p>
            <w:pPr>
              <w:jc w:val="center"/>
            </w:pPr>
            <w:r>
              <w:rPr>
                <w:b w:val="0"/>
                <w:i w:val="0"/>
                <w:sz w:val="18"/>
              </w:rPr>
              <w:t>CONTRACTOR</w:t>
            </w:r>
          </w:p>
        </w:tc>
      </w:tr>
      <w:tr>
        <w:tc>
          <w:tcPr>
            <w:tcW w:type="dxa" w:w="2304"/>
            <w:vAlign w:val="center"/>
          </w:tcPr>
          <w:p>
            <w:r>
              <w:rPr>
                <w:b w:val="0"/>
                <w:i w:val="0"/>
                <w:sz w:val="18"/>
              </w:rPr>
              <w:t>Uses federal funds to carry out a program for a public purpose (vs. providing goods/services for the recipient's own use)</w:t>
            </w:r>
          </w:p>
        </w:tc>
        <w:tc>
          <w:tcPr>
            <w:tcW w:type="dxa" w:w="2304"/>
            <w:vAlign w:val="center"/>
          </w:tcPr>
          <w:p>
            <w:r>
              <w:rPr>
                <w:b w:val="0"/>
                <w:i w:val="0"/>
                <w:sz w:val="18"/>
              </w:rPr>
              <w:t>Is not subject to the program's compliance requirements (only to contract terms)</w:t>
            </w:r>
          </w:p>
        </w:tc>
        <w:tc>
          <w:tcPr>
            <w:tcW w:type="dxa" w:w="3312"/>
            <w:vAlign w:val="center"/>
          </w:tcPr>
          <w:p>
            <w:r>
              <w:rPr>
                <w:b w:val="0"/>
                <w:i w:val="0"/>
                <w:sz w:val="18"/>
              </w:rPr>
              <w:t xml:space="preserve">If RIVR Tech were to assume programmatic responsibility (e.g., discretion over eligibility or service policy), a subrecipient characteristic could arise. </w:t>
            </w:r>
            <w:r>
              <w:rPr>
                <w:b/>
                <w:i w:val="0"/>
                <w:color w:val="7F007F"/>
                <w:sz w:val="18"/>
              </w:rPr>
              <w:t>[GRANT COMPLIANCE REVIEW REQUIRED]</w:t>
            </w:r>
          </w:p>
        </w:tc>
        <w:tc>
          <w:tcPr>
            <w:tcW w:type="dxa" w:w="1440"/>
            <w:vAlign w:val="center"/>
          </w:tcPr>
          <w:p>
            <w:pPr>
              <w:jc w:val="center"/>
            </w:pPr>
            <w:r>
              <w:rPr>
                <w:b w:val="0"/>
                <w:i w:val="0"/>
                <w:sz w:val="18"/>
              </w:rPr>
              <w:t>CONFIRM</w:t>
            </w:r>
          </w:p>
        </w:tc>
      </w:tr>
    </w:tbl>
    <w:p/>
    <w:p>
      <w:pPr>
        <w:pStyle w:val="Heading1"/>
        <w:spacing w:before="240" w:after="120"/>
      </w:pPr>
      <w:r>
        <w:rPr>
          <w:rFonts w:ascii="Calibri" w:hAnsi="Calibri"/>
          <w:b/>
          <w:color w:val="1F3864"/>
          <w:sz w:val="26"/>
        </w:rPr>
        <w:t>ARTICLE 3.  RECOMMENDATION</w:t>
      </w:r>
    </w:p>
    <w:p>
      <w:r>
        <w:rPr>
          <w:b/>
          <w:i w:val="0"/>
        </w:rPr>
        <w:t>On the facts assumed, the weight of the substance factors points toward treating RIVR Tech as a CONTRACTOR / vendor (procured provider of design-engineering-procurement-construction and operations/maintenance services, and proposed retail provider of record), not a subrecipient.</w:t>
      </w:r>
    </w:p>
    <w:p>
      <w:pPr>
        <w:ind w:left="504"/>
      </w:pPr>
      <w:r>
        <w:rPr>
          <w:b/>
          <w:color w:val="7F007F"/>
        </w:rPr>
        <w:t xml:space="preserve">[GRANT COMPLIANCE REVIEW REQUIRED]  </w:t>
      </w:r>
      <w:r>
        <w:rPr>
          <w:i/>
          <w:color w:val="595959"/>
        </w:rPr>
        <w:t>This recommendation is provisional. The classification must be confirmed by a written contractor-vs-subrecipient determination by the recipient (with grants-officer concurrence as required) under 2 CFR 200.331 (Subrecipient and contractor determinations), supported by the approved application and scope.</w:t>
      </w:r>
    </w:p>
    <w:p>
      <w:pPr>
        <w:pStyle w:val="Heading1"/>
        <w:spacing w:before="240" w:after="120"/>
      </w:pPr>
      <w:r>
        <w:rPr>
          <w:rFonts w:ascii="Calibri" w:hAnsi="Calibri"/>
          <w:b/>
          <w:color w:val="1F3864"/>
          <w:sz w:val="26"/>
        </w:rPr>
        <w:t>ARTICLE 4.  IF BOTH ROLES ARE PRESENT (DUAL-ROLE HANDLING)</w:t>
      </w:r>
    </w:p>
    <w:p>
      <w:r>
        <w:rPr>
          <w:b w:val="0"/>
          <w:i w:val="0"/>
        </w:rPr>
        <w:t>If any scope assigns RIVR Tech programmatic responsibility (a subrecipient characteristic), the scopes must be divided and documented separately, with controls appropriate to each role.</w:t>
      </w:r>
    </w:p>
    <w:p>
      <w:pPr>
        <w:pStyle w:val="Heading2"/>
        <w:spacing w:before="160" w:after="60"/>
      </w:pPr>
      <w:r>
        <w:rPr>
          <w:rFonts w:ascii="Calibri" w:hAnsi="Calibri"/>
          <w:b/>
          <w:color w:val="000000"/>
          <w:sz w:val="22"/>
        </w:rPr>
        <w:t>4.1  Contractor scope (default)</w:t>
      </w:r>
    </w:p>
    <w:p>
      <w:r>
        <w:rPr>
          <w:b w:val="0"/>
          <w:i w:val="0"/>
        </w:rPr>
        <w:t>Design, engineering, procurement, construction, operations, maintenance, and retail service delivery as procured services. Controls: compliant procurement, cost/price reasonableness, flow-down clauses, and record access. 2 CFR 200.317–200.327 (Procurement standards)</w:t>
      </w:r>
    </w:p>
    <w:p>
      <w:pPr>
        <w:pStyle w:val="Heading2"/>
        <w:spacing w:before="160" w:after="60"/>
      </w:pPr>
      <w:r>
        <w:rPr>
          <w:rFonts w:ascii="Calibri" w:hAnsi="Calibri"/>
          <w:b/>
          <w:color w:val="000000"/>
          <w:sz w:val="22"/>
        </w:rPr>
        <w:t>4.2  Subrecipient scope (only if programmatic responsibility is assigned)</w:t>
      </w:r>
    </w:p>
    <w:p>
      <w:r>
        <w:rPr>
          <w:b w:val="0"/>
          <w:i w:val="0"/>
        </w:rPr>
        <w:t>Any delegated programmatic decision-making or public-purpose administration. Controls: a subaward with required data elements, risk assessment, monitoring, and closeout as a pass-through entity. 2 CFR 200.332 (Requirements for pass-through entities)</w:t>
      </w:r>
    </w:p>
    <w:p>
      <w:pPr>
        <w:ind w:left="504"/>
      </w:pPr>
      <w:r>
        <w:rPr>
          <w:b/>
          <w:color w:val="0000C0"/>
        </w:rPr>
        <w:t xml:space="preserve">[ATTORNEY REVIEW REQUIRED]  </w:t>
      </w:r>
      <w:r>
        <w:rPr>
          <w:i/>
          <w:color w:val="595959"/>
        </w:rPr>
        <w:t>Where any subrecipient scope exists, the Tribe becomes a pass-through entity under 2 CFR 200.332 (Requirements for pass-through entities) and must implement subrecipient monitoring; counsel and the grants officer must confirm the split before execution.</w:t>
      </w:r>
    </w:p>
    <w:p>
      <w:pPr>
        <w:pStyle w:val="Heading1"/>
        <w:spacing w:before="240" w:after="120"/>
      </w:pPr>
      <w:r>
        <w:rPr>
          <w:rFonts w:ascii="Calibri" w:hAnsi="Calibri"/>
          <w:b/>
          <w:color w:val="1F3864"/>
          <w:sz w:val="26"/>
        </w:rPr>
        <w:t>ARTICLE 5.  CLOSING DISCLAIMER AND RESERVATION</w:t>
      </w:r>
    </w:p>
    <w:p>
      <w:r>
        <w:rPr>
          <w:b w:val="0"/>
          <w:i/>
        </w:rPr>
        <w:t>These drafts are provided for business planning and attorney review only. They are preliminary, non-binding, incomplete, and prepared without any controlling TBCP award or source documents. The provisional baseline is the March 2024 amended Round 2 NOFO; Round 3 is the live TBCP round as of the version date, and the controlling round and executed award must be confirmed before anything here is finalized. Every bracketed item, highlighted placeholder, and flagged provision requires confirmation by qualified counsel, grant, financial, and technical advisors. Nothing in these drafts constitutes legal, financial, tax, or grant-compliance advice, creates any binding obligation, or waives any right, remedy, or sovereign immunity. In the event of any conflict, the executed TBCP award, applicable federal and state law, and any required governmental consent control; nothing in these drafts may be relied upon to supersede the TBCP award, applicable law, or required governmental consent.</w:t>
      </w:r>
    </w:p>
    <w:p>
      <w:pPr>
        <w:ind w:left="504"/>
      </w:pPr>
      <w:r>
        <w:rPr>
          <w:b/>
          <w:color w:val="0000C0"/>
        </w:rPr>
        <w:t xml:space="preserve">[ATTORNEY REVIEW REQUIRED]  </w:t>
      </w:r>
      <w:r>
        <w:rPr>
          <w:i/>
          <w:color w:val="595959"/>
        </w:rPr>
        <w:t>This document is attorney work product prepared for the common interest of the Lumbee Tribe and RIVR Tech; it is not final legal advice and must be reviewed and completed by qualified counsel before use.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Contractor/Subrecipient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