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2"/>
          <w:highlight w:val="yellow"/>
        </w:rPr>
        <w:t>PRELIMINARY DRAFT – NO CONTROLLING TBCP AWARD OR SOURCE DOCUMENTS SUPPLIED – PROVISIONAL BASELINE: MARCH 2024 AMENDED ROUND 2 NOFO – SUBJECT TO LEGAL, GRANT AND FINANCIAL REVIEW</w:t>
      </w:r>
    </w:p>
    <w:p/>
    <w:p/>
    <w:p/>
    <w:p>
      <w:pPr>
        <w:jc w:val="center"/>
      </w:pPr>
      <w:r>
        <w:rPr>
          <w:b/>
          <w:color w:val="595959"/>
          <w:sz w:val="24"/>
        </w:rPr>
        <w:t>DOCUMENT 09 — FEDERAL APPROVAL REQUEST</w:t>
      </w:r>
    </w:p>
    <w:p>
      <w:pPr>
        <w:jc w:val="center"/>
      </w:pPr>
      <w:r>
        <w:rPr>
          <w:b/>
          <w:color w:val="1F3864"/>
          <w:sz w:val="48"/>
        </w:rPr>
        <w:t>Federal Approval Request</w:t>
      </w:r>
    </w:p>
    <w:p>
      <w:pPr>
        <w:jc w:val="center"/>
      </w:pPr>
      <w:r>
        <w:rPr>
          <w:color w:val="595959"/>
          <w:sz w:val="28"/>
        </w:rPr>
        <w:t>Phase 1 Diligence — Written Determinations Requested from the Grants Officer</w:t>
      </w:r>
    </w:p>
    <w:p/>
    <w:p/>
    <w:p>
      <w:pPr>
        <w:jc w:val="center"/>
      </w:pPr>
      <w:r>
        <w:rPr>
          <w:i/>
          <w:sz w:val="22"/>
        </w:rPr>
        <w:t>by and between</w:t>
      </w:r>
    </w:p>
    <w:p>
      <w:pPr>
        <w:jc w:val="center"/>
      </w:pPr>
      <w:r>
        <w:rPr>
          <w:b/>
          <w:i w:val="0"/>
          <w:color w:val="1F3864"/>
          <w:sz w:val="28"/>
        </w:rPr>
        <w:t>Lumbee Tribe of North Carolina</w:t>
      </w:r>
    </w:p>
    <w:p>
      <w:pPr>
        <w:jc w:val="center"/>
      </w:pPr>
      <w:r>
        <w:rPr>
          <w:b w:val="0"/>
          <w:i/>
          <w:sz w:val="22"/>
        </w:rPr>
        <w:t>and</w:t>
      </w:r>
    </w:p>
    <w:p>
      <w:pPr>
        <w:jc w:val="center"/>
      </w:pPr>
      <w:r>
        <w:rPr>
          <w:b/>
          <w:i w:val="0"/>
          <w:color w:val="1F3864"/>
          <w:sz w:val="28"/>
        </w:rPr>
        <w:t>LREMC Technologies, LLC d/b/a RIVR Tech</w:t>
      </w:r>
    </w:p>
    <w:p/>
    <w:p/>
    <w:p/>
    <w:p/>
    <w:p>
      <w:pPr>
        <w:jc w:val="center"/>
      </w:pPr>
      <w:r>
        <w:rPr>
          <w:b/>
          <w:sz w:val="20"/>
        </w:rPr>
        <w:t xml:space="preserve">Version:  </w:t>
      </w:r>
      <w:r>
        <w:rPr>
          <w:sz w:val="20"/>
        </w:rPr>
        <w:t>Preliminary Draft v0.1</w:t>
      </w:r>
    </w:p>
    <w:p>
      <w:pPr>
        <w:jc w:val="center"/>
      </w:pPr>
      <w:r>
        <w:rPr>
          <w:b/>
          <w:sz w:val="20"/>
        </w:rPr>
        <w:t xml:space="preserve">Version Date:  </w:t>
      </w:r>
      <w:r>
        <w:rPr>
          <w:sz w:val="20"/>
        </w:rPr>
        <w:t>September 26, 2026</w:t>
      </w:r>
    </w:p>
    <w:p>
      <w:pPr>
        <w:jc w:val="center"/>
      </w:pPr>
      <w:r>
        <w:rPr>
          <w:b/>
          <w:sz w:val="20"/>
        </w:rPr>
        <w:t xml:space="preserve">Document Status:  </w:t>
      </w:r>
      <w:r>
        <w:rPr>
          <w:sz w:val="20"/>
        </w:rPr>
        <w:t>Working draft — not executed; not final legal advice</w:t>
      </w:r>
    </w:p>
    <w:p>
      <w:pPr>
        <w:jc w:val="center"/>
      </w:pPr>
      <w:r>
        <w:rPr>
          <w:b/>
          <w:sz w:val="20"/>
        </w:rPr>
        <w:t xml:space="preserve">Program:  </w:t>
      </w:r>
      <w:r>
        <w:rPr>
          <w:sz w:val="20"/>
        </w:rPr>
        <w:t>Tribal Broadband Connectivity Program (TBCP), National Telecommunications and Information Administration (NTIA)</w:t>
      </w:r>
    </w:p>
    <w:p/>
    <w:p/>
    <w:p>
      <w:pPr>
        <w:jc w:val="center"/>
      </w:pPr>
      <w:r>
        <w:rPr>
          <w:i/>
          <w:color w:val="595959"/>
          <w:sz w:val="18"/>
        </w:rPr>
        <w:t>CONFIDENTIAL – ATTORNEY WORK PRODUCT / SUBJECT TO COMMON-INTEREST PRIVILEGE</w:t>
      </w:r>
    </w:p>
    <w:p>
      <w:r>
        <w:br w:type="page"/>
      </w:r>
    </w:p>
    <w:p>
      <w:r>
        <w:rPr>
          <w:b/>
          <w:color w:val="1F3864"/>
          <w:sz w:val="28"/>
        </w:rPr>
        <w:t>TABLE OF CONTENTS</w:t>
      </w:r>
    </w:p>
    <w:p>
      <w:r>
        <w:rPr>
          <w:i/>
          <w:color w:val="595959"/>
          <w:sz w:val="18"/>
        </w:rPr>
        <w:t>(Right-click and choose “Update Field” in Microsoft Word to populate page numbers.)</w:t>
      </w:r>
    </w:p>
    <w:p>
      <w:r>
        <w:fldChar w:fldCharType="begin"/>
        <w:instrText xml:space="preserve">TOC \o "1-3" \h \z \u</w:instrText>
        <w:fldChar w:fldCharType="separate"/>
        <w:fldChar w:fldCharType="end"/>
      </w:r>
    </w:p>
    <w:p>
      <w:r>
        <w:br w:type="page"/>
      </w:r>
    </w:p>
    <w:p>
      <w:pPr>
        <w:jc w:val="center"/>
      </w:pPr>
      <w:r>
        <w:rPr>
          <w:b/>
          <w:color w:val="C00000"/>
          <w:highlight w:val="yellow"/>
        </w:rPr>
        <w:t>PRELIMINARY DRAFT – NO CONTROLLING TBCP AWARD OR SOURCE DOCUMENTS SUPPLIED – PROVISIONAL BASELINE: MARCH 2024 AMENDED ROUND 2 NOFO – SUBJECT TO LEGAL, GRANT AND FINANCIAL REVIEW</w:t>
      </w:r>
    </w:p>
    <w:p/>
    <w:p>
      <w:pPr>
        <w:pStyle w:val="Heading1"/>
        <w:spacing w:before="240" w:after="120"/>
      </w:pPr>
      <w:r>
        <w:rPr>
          <w:rFonts w:ascii="Calibri" w:hAnsi="Calibri"/>
          <w:b/>
          <w:color w:val="1F3864"/>
          <w:sz w:val="26"/>
        </w:rPr>
        <w:t>ARTICLE 1.  ADDRESSEE AND PURPOSE</w:t>
      </w:r>
    </w:p>
    <w:p>
      <w:r>
        <w:rPr>
          <w:b w:val="0"/>
          <w:i w:val="0"/>
        </w:rPr>
        <w:t xml:space="preserve">To: </w:t>
      </w:r>
      <w:r>
        <w:rPr>
          <w:b w:val="0"/>
          <w:i w:val="0"/>
          <w:color w:val="804000"/>
          <w:highlight w:val="yellow"/>
        </w:rPr>
        <w:t>[■ Federal Program Officer / Grants Officer name and office]</w:t>
      </w:r>
      <w:r>
        <w:rPr>
          <w:b w:val="0"/>
          <w:i w:val="0"/>
        </w:rPr>
        <w:t>, National Telecommunications and Information Administration (NTIA), U.S. Department of Commerce.</w:t>
      </w:r>
    </w:p>
    <w:p>
      <w:r>
        <w:rPr>
          <w:b w:val="0"/>
          <w:i w:val="0"/>
        </w:rPr>
        <w:t>From: Lumbee Tribe of North Carolina (Lumbee Tribe), TBCP applicant / recipient, with respect to the proposed engagement of LREMC Technologies, LLC d/b/a RIVR Tech (RIVR Tech).</w:t>
      </w:r>
    </w:p>
    <w:p>
      <w:r>
        <w:rPr>
          <w:b w:val="0"/>
          <w:i w:val="0"/>
        </w:rPr>
        <w:t>Purpose: to request the specific written determinations below before the corresponding provisions of the definitive agreements are finalized. No executed TBCP award, CD-450 Financial Assistance Award, Notice of Funding Opportunity PDF, Specific Award Conditions, Tribal resolution, title/easement record, or existing RIVR Tech / LREMC contract was supplied for this work product. All conclusions are provisional and keyed to the assumptions register in Document 01.</w:t>
      </w:r>
    </w:p>
    <w:p>
      <w:pPr>
        <w:ind w:left="504"/>
      </w:pPr>
      <w:r>
        <w:rPr>
          <w:b/>
          <w:color w:val="7F007F"/>
        </w:rPr>
        <w:t xml:space="preserve">[GRANT COMPLIANCE REVIEW REQUIRED]  </w:t>
      </w:r>
      <w:r>
        <w:rPr>
          <w:i/>
          <w:color w:val="595959"/>
        </w:rPr>
        <w:t>No determination requested below has been obtained. All are PENDING. This request is a draft for attorney and grants review before submission.</w:t>
      </w:r>
    </w:p>
    <w:p>
      <w:pPr>
        <w:ind w:left="504"/>
      </w:pPr>
      <w:r>
        <w:rPr>
          <w:b/>
          <w:color w:val="0000C0"/>
        </w:rPr>
        <w:t xml:space="preserve">[ATTORNEY REVIEW REQUIRED]  </w:t>
      </w:r>
      <w:r>
        <w:rPr>
          <w:i/>
          <w:color w:val="595959"/>
        </w:rPr>
        <w:t>Confirm the controlling round and award before submission. Round 3 is the live TBCP round as of the version date; the controlling round and executed award must be confirmed before any definitive clause is finalized.</w:t>
      </w:r>
    </w:p>
    <w:p>
      <w:pPr>
        <w:pStyle w:val="Heading1"/>
        <w:spacing w:before="240" w:after="120"/>
      </w:pPr>
      <w:r>
        <w:rPr>
          <w:rFonts w:ascii="Calibri" w:hAnsi="Calibri"/>
          <w:b/>
          <w:color w:val="1F3864"/>
          <w:sz w:val="26"/>
        </w:rPr>
        <w:t>ARTICLE 2.  DETERMINATIONS REQUESTED</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432"/>
            <w:shd w:val="clear" w:color="auto" w:fill="1F3864"/>
            <w:vAlign w:val="center"/>
          </w:tcPr>
          <w:p>
            <w:pPr>
              <w:jc w:val="center"/>
            </w:pPr>
            <w:r>
              <w:rPr>
                <w:b/>
                <w:color w:val="FFFFFF"/>
                <w:sz w:val="18"/>
              </w:rPr>
              <w:t>#</w:t>
            </w:r>
          </w:p>
        </w:tc>
        <w:tc>
          <w:tcPr>
            <w:tcW w:type="dxa" w:w="1728"/>
            <w:shd w:val="clear" w:color="auto" w:fill="1F3864"/>
            <w:vAlign w:val="center"/>
          </w:tcPr>
          <w:p>
            <w:pPr>
              <w:jc w:val="center"/>
            </w:pPr>
            <w:r>
              <w:rPr>
                <w:b/>
                <w:color w:val="FFFFFF"/>
                <w:sz w:val="18"/>
              </w:rPr>
              <w:t>Determination Requested</w:t>
            </w:r>
          </w:p>
        </w:tc>
        <w:tc>
          <w:tcPr>
            <w:tcW w:type="dxa" w:w="2016"/>
            <w:shd w:val="clear" w:color="auto" w:fill="1F3864"/>
            <w:vAlign w:val="center"/>
          </w:tcPr>
          <w:p>
            <w:pPr>
              <w:jc w:val="center"/>
            </w:pPr>
            <w:r>
              <w:rPr>
                <w:b/>
                <w:color w:val="FFFFFF"/>
                <w:sz w:val="18"/>
              </w:rPr>
              <w:t>Why It Matters</w:t>
            </w:r>
          </w:p>
        </w:tc>
        <w:tc>
          <w:tcPr>
            <w:tcW w:type="dxa" w:w="1872"/>
            <w:shd w:val="clear" w:color="auto" w:fill="1F3864"/>
            <w:vAlign w:val="center"/>
          </w:tcPr>
          <w:p>
            <w:pPr>
              <w:jc w:val="center"/>
            </w:pPr>
            <w:r>
              <w:rPr>
                <w:b/>
                <w:color w:val="FFFFFF"/>
                <w:sz w:val="18"/>
              </w:rPr>
              <w:t>Proposed Structure</w:t>
            </w:r>
          </w:p>
        </w:tc>
        <w:tc>
          <w:tcPr>
            <w:tcW w:type="dxa" w:w="1584"/>
            <w:shd w:val="clear" w:color="auto" w:fill="1F3864"/>
            <w:vAlign w:val="center"/>
          </w:tcPr>
          <w:p>
            <w:pPr>
              <w:jc w:val="center"/>
            </w:pPr>
            <w:r>
              <w:rPr>
                <w:b/>
                <w:color w:val="FFFFFF"/>
                <w:sz w:val="18"/>
              </w:rPr>
              <w:t>Fallback</w:t>
            </w:r>
          </w:p>
        </w:tc>
        <w:tc>
          <w:tcPr>
            <w:tcW w:type="dxa" w:w="1296"/>
            <w:shd w:val="clear" w:color="auto" w:fill="1F3864"/>
            <w:vAlign w:val="center"/>
          </w:tcPr>
          <w:p>
            <w:pPr>
              <w:jc w:val="center"/>
            </w:pPr>
            <w:r>
              <w:rPr>
                <w:b/>
                <w:color w:val="FFFFFF"/>
                <w:sz w:val="18"/>
              </w:rPr>
              <w:t>Citation</w:t>
            </w:r>
          </w:p>
        </w:tc>
        <w:tc>
          <w:tcPr>
            <w:tcW w:type="dxa" w:w="432"/>
            <w:shd w:val="clear" w:color="auto" w:fill="1F3864"/>
            <w:vAlign w:val="center"/>
          </w:tcPr>
          <w:p>
            <w:pPr>
              <w:jc w:val="center"/>
            </w:pPr>
            <w:r>
              <w:rPr>
                <w:b/>
                <w:color w:val="FFFFFF"/>
                <w:sz w:val="18"/>
              </w:rPr>
              <w:t>Status</w:t>
            </w:r>
          </w:p>
        </w:tc>
      </w:tr>
      <w:tr>
        <w:tc>
          <w:tcPr>
            <w:tcW w:type="dxa" w:w="432"/>
            <w:vAlign w:val="center"/>
          </w:tcPr>
          <w:p>
            <w:pPr>
              <w:jc w:val="center"/>
            </w:pPr>
            <w:r>
              <w:rPr>
                <w:b w:val="0"/>
                <w:i w:val="0"/>
                <w:sz w:val="18"/>
              </w:rPr>
              <w:t>1</w:t>
            </w:r>
          </w:p>
        </w:tc>
        <w:tc>
          <w:tcPr>
            <w:tcW w:type="dxa" w:w="1728"/>
            <w:vAlign w:val="center"/>
          </w:tcPr>
          <w:p>
            <w:r>
              <w:rPr>
                <w:b w:val="0"/>
                <w:i w:val="0"/>
                <w:sz w:val="18"/>
              </w:rPr>
              <w:t>IRU grant to RIVR Tech over Grant-Funded Assets</w:t>
            </w:r>
          </w:p>
        </w:tc>
        <w:tc>
          <w:tcPr>
            <w:tcW w:type="dxa" w:w="2016"/>
            <w:vAlign w:val="center"/>
          </w:tcPr>
          <w:p>
            <w:r>
              <w:rPr>
                <w:b w:val="0"/>
                <w:i w:val="0"/>
                <w:sz w:val="18"/>
              </w:rPr>
              <w:t>Long-term rights over federally funded assets may require federal approval and program-income analysis.</w:t>
            </w:r>
          </w:p>
        </w:tc>
        <w:tc>
          <w:tcPr>
            <w:tcW w:type="dxa" w:w="1872"/>
            <w:vAlign w:val="center"/>
          </w:tcPr>
          <w:p>
            <w:r>
              <w:rPr>
                <w:b w:val="0"/>
                <w:i w:val="0"/>
                <w:sz w:val="18"/>
              </w:rPr>
              <w:t>IRU limited to defined capacity within the federal-interest period, with the Tribe retaining title.</w:t>
            </w:r>
          </w:p>
        </w:tc>
        <w:tc>
          <w:tcPr>
            <w:tcW w:type="dxa" w:w="1584"/>
            <w:vAlign w:val="center"/>
          </w:tcPr>
          <w:p>
            <w:r>
              <w:rPr>
                <w:b w:val="0"/>
                <w:i w:val="0"/>
                <w:sz w:val="18"/>
              </w:rPr>
              <w:t>If not approved as an IRU, a shorter capacity lease/license.</w:t>
            </w:r>
          </w:p>
        </w:tc>
        <w:tc>
          <w:tcPr>
            <w:tcW w:type="dxa" w:w="1296"/>
            <w:vAlign w:val="center"/>
          </w:tcPr>
          <w:p>
            <w:r>
              <w:rPr>
                <w:b w:val="0"/>
                <w:i w:val="0"/>
                <w:sz w:val="18"/>
              </w:rPr>
              <w:t>2 CFR 200.315 (Intangible property); 2 CFR 200.313 (Equipment — use, management, and disposition)</w:t>
            </w:r>
          </w:p>
        </w:tc>
        <w:tc>
          <w:tcPr>
            <w:tcW w:type="dxa" w:w="432"/>
            <w:vAlign w:val="center"/>
          </w:tcPr>
          <w:p>
            <w:pPr>
              <w:jc w:val="center"/>
            </w:pPr>
            <w:r>
              <w:rPr>
                <w:b w:val="0"/>
                <w:i w:val="0"/>
                <w:sz w:val="18"/>
              </w:rPr>
              <w:t>PENDING</w:t>
            </w:r>
          </w:p>
        </w:tc>
      </w:tr>
      <w:tr>
        <w:tc>
          <w:tcPr>
            <w:tcW w:type="dxa" w:w="432"/>
            <w:shd w:val="clear" w:color="auto" w:fill="F2F2F2"/>
            <w:vAlign w:val="center"/>
          </w:tcPr>
          <w:p>
            <w:pPr>
              <w:jc w:val="center"/>
            </w:pPr>
            <w:r>
              <w:rPr>
                <w:b w:val="0"/>
                <w:i w:val="0"/>
                <w:sz w:val="18"/>
              </w:rPr>
              <w:t>2</w:t>
            </w:r>
          </w:p>
        </w:tc>
        <w:tc>
          <w:tcPr>
            <w:tcW w:type="dxa" w:w="1728"/>
            <w:shd w:val="clear" w:color="auto" w:fill="F2F2F2"/>
            <w:vAlign w:val="center"/>
          </w:tcPr>
          <w:p>
            <w:r>
              <w:rPr>
                <w:b w:val="0"/>
                <w:i w:val="0"/>
                <w:sz w:val="18"/>
              </w:rPr>
              <w:t>Operating appointment / operator role</w:t>
            </w:r>
          </w:p>
        </w:tc>
        <w:tc>
          <w:tcPr>
            <w:tcW w:type="dxa" w:w="2016"/>
            <w:shd w:val="clear" w:color="auto" w:fill="F2F2F2"/>
            <w:vAlign w:val="center"/>
          </w:tcPr>
          <w:p>
            <w:r>
              <w:rPr>
                <w:b w:val="0"/>
                <w:i w:val="0"/>
                <w:sz w:val="18"/>
              </w:rPr>
              <w:t>The operator role over grant-funded network must be permissible under the Award.</w:t>
            </w:r>
          </w:p>
        </w:tc>
        <w:tc>
          <w:tcPr>
            <w:tcW w:type="dxa" w:w="1872"/>
            <w:shd w:val="clear" w:color="auto" w:fill="F2F2F2"/>
            <w:vAlign w:val="center"/>
          </w:tcPr>
          <w:p>
            <w:r>
              <w:rPr>
                <w:b w:val="0"/>
                <w:i w:val="0"/>
                <w:sz w:val="18"/>
              </w:rPr>
              <w:t>RIVR Tech operates and maintains under an O&amp;M agreement; the Tribe retains programmatic control.</w:t>
            </w:r>
          </w:p>
        </w:tc>
        <w:tc>
          <w:tcPr>
            <w:tcW w:type="dxa" w:w="1584"/>
            <w:shd w:val="clear" w:color="auto" w:fill="F2F2F2"/>
            <w:vAlign w:val="center"/>
          </w:tcPr>
          <w:p>
            <w:r>
              <w:rPr>
                <w:b w:val="0"/>
                <w:i w:val="0"/>
                <w:sz w:val="18"/>
              </w:rPr>
              <w:t>Management agreement with narrower delegated authority.</w:t>
            </w:r>
          </w:p>
        </w:tc>
        <w:tc>
          <w:tcPr>
            <w:tcW w:type="dxa" w:w="1296"/>
            <w:shd w:val="clear" w:color="auto" w:fill="F2F2F2"/>
            <w:vAlign w:val="center"/>
          </w:tcPr>
          <w:p>
            <w:r>
              <w:rPr>
                <w:b w:val="0"/>
                <w:i w:val="0"/>
                <w:sz w:val="18"/>
              </w:rPr>
              <w:t>2 CFR 200.313 (Equipment — use, management, and disposition)</w:t>
            </w:r>
          </w:p>
        </w:tc>
        <w:tc>
          <w:tcPr>
            <w:tcW w:type="dxa" w:w="432"/>
            <w:shd w:val="clear" w:color="auto" w:fill="F2F2F2"/>
            <w:vAlign w:val="center"/>
          </w:tcPr>
          <w:p>
            <w:pPr>
              <w:jc w:val="center"/>
            </w:pPr>
            <w:r>
              <w:rPr>
                <w:b w:val="0"/>
                <w:i w:val="0"/>
                <w:sz w:val="18"/>
              </w:rPr>
              <w:t>PENDING</w:t>
            </w:r>
          </w:p>
        </w:tc>
      </w:tr>
      <w:tr>
        <w:tc>
          <w:tcPr>
            <w:tcW w:type="dxa" w:w="432"/>
            <w:vAlign w:val="center"/>
          </w:tcPr>
          <w:p>
            <w:pPr>
              <w:jc w:val="center"/>
            </w:pPr>
            <w:r>
              <w:rPr>
                <w:b w:val="0"/>
                <w:i w:val="0"/>
                <w:sz w:val="18"/>
              </w:rPr>
              <w:t>3</w:t>
            </w:r>
          </w:p>
        </w:tc>
        <w:tc>
          <w:tcPr>
            <w:tcW w:type="dxa" w:w="1728"/>
            <w:vAlign w:val="center"/>
          </w:tcPr>
          <w:p>
            <w:r>
              <w:rPr>
                <w:b w:val="0"/>
                <w:i w:val="0"/>
                <w:sz w:val="18"/>
              </w:rPr>
              <w:t>Interconnection arrangement</w:t>
            </w:r>
          </w:p>
        </w:tc>
        <w:tc>
          <w:tcPr>
            <w:tcW w:type="dxa" w:w="2016"/>
            <w:vAlign w:val="center"/>
          </w:tcPr>
          <w:p>
            <w:r>
              <w:rPr>
                <w:b w:val="0"/>
                <w:i w:val="0"/>
                <w:sz w:val="18"/>
              </w:rPr>
              <w:t>Interconnection to existing networks affects asset boundaries, cost allocation, and federal interest.</w:t>
            </w:r>
          </w:p>
        </w:tc>
        <w:tc>
          <w:tcPr>
            <w:tcW w:type="dxa" w:w="1872"/>
            <w:vAlign w:val="center"/>
          </w:tcPr>
          <w:p>
            <w:r>
              <w:rPr>
                <w:b w:val="0"/>
                <w:i w:val="0"/>
                <w:sz w:val="18"/>
              </w:rPr>
              <w:t>Defined points of interconnection and transport terms at documented rates.</w:t>
            </w:r>
          </w:p>
        </w:tc>
        <w:tc>
          <w:tcPr>
            <w:tcW w:type="dxa" w:w="1584"/>
            <w:vAlign w:val="center"/>
          </w:tcPr>
          <w:p>
            <w:r>
              <w:rPr>
                <w:b w:val="0"/>
                <w:i w:val="0"/>
                <w:sz w:val="18"/>
              </w:rPr>
              <w:t>Arm's-length transport/transit agreement outside the grant scope.</w:t>
            </w:r>
          </w:p>
        </w:tc>
        <w:tc>
          <w:tcPr>
            <w:tcW w:type="dxa" w:w="1296"/>
            <w:vAlign w:val="center"/>
          </w:tcPr>
          <w:p>
            <w:r>
              <w:rPr>
                <w:b w:val="0"/>
                <w:i w:val="0"/>
                <w:sz w:val="18"/>
              </w:rPr>
              <w:t>2 CFR 200.313 (Equipment — use, management, and disposition); 2 CFR Part 200, Subpart E (Cost Principles — allowability, allocability, reasonableness)</w:t>
            </w:r>
          </w:p>
        </w:tc>
        <w:tc>
          <w:tcPr>
            <w:tcW w:type="dxa" w:w="432"/>
            <w:vAlign w:val="center"/>
          </w:tcPr>
          <w:p>
            <w:pPr>
              <w:jc w:val="center"/>
            </w:pPr>
            <w:r>
              <w:rPr>
                <w:b w:val="0"/>
                <w:i w:val="0"/>
                <w:sz w:val="18"/>
              </w:rPr>
              <w:t>PENDING</w:t>
            </w:r>
          </w:p>
        </w:tc>
      </w:tr>
      <w:tr>
        <w:tc>
          <w:tcPr>
            <w:tcW w:type="dxa" w:w="432"/>
            <w:shd w:val="clear" w:color="auto" w:fill="F2F2F2"/>
            <w:vAlign w:val="center"/>
          </w:tcPr>
          <w:p>
            <w:pPr>
              <w:jc w:val="center"/>
            </w:pPr>
            <w:r>
              <w:rPr>
                <w:b w:val="0"/>
                <w:i w:val="0"/>
                <w:sz w:val="18"/>
              </w:rPr>
              <w:t>4</w:t>
            </w:r>
          </w:p>
        </w:tc>
        <w:tc>
          <w:tcPr>
            <w:tcW w:type="dxa" w:w="1728"/>
            <w:shd w:val="clear" w:color="auto" w:fill="F2F2F2"/>
            <w:vAlign w:val="center"/>
          </w:tcPr>
          <w:p>
            <w:r>
              <w:rPr>
                <w:b w:val="0"/>
                <w:i w:val="0"/>
                <w:sz w:val="18"/>
              </w:rPr>
              <w:t>Use of existing (non-grant) RIVR Tech assets</w:t>
            </w:r>
          </w:p>
        </w:tc>
        <w:tc>
          <w:tcPr>
            <w:tcW w:type="dxa" w:w="2016"/>
            <w:shd w:val="clear" w:color="auto" w:fill="F2F2F2"/>
            <w:vAlign w:val="center"/>
          </w:tcPr>
          <w:p>
            <w:r>
              <w:rPr>
                <w:b w:val="0"/>
                <w:i w:val="0"/>
                <w:sz w:val="18"/>
              </w:rPr>
              <w:t>Prevents treating pre-existing assets as a free contribution and ensures cost reasonableness.</w:t>
            </w:r>
          </w:p>
        </w:tc>
        <w:tc>
          <w:tcPr>
            <w:tcW w:type="dxa" w:w="1872"/>
            <w:shd w:val="clear" w:color="auto" w:fill="F2F2F2"/>
            <w:vAlign w:val="center"/>
          </w:tcPr>
          <w:p>
            <w:r>
              <w:rPr>
                <w:b w:val="0"/>
                <w:i w:val="0"/>
                <w:sz w:val="18"/>
              </w:rPr>
              <w:t>Value and cost-allocate existing assets used for the project; never free.</w:t>
            </w:r>
          </w:p>
        </w:tc>
        <w:tc>
          <w:tcPr>
            <w:tcW w:type="dxa" w:w="1584"/>
            <w:shd w:val="clear" w:color="auto" w:fill="F2F2F2"/>
            <w:vAlign w:val="center"/>
          </w:tcPr>
          <w:p>
            <w:r>
              <w:rPr>
                <w:b w:val="0"/>
                <w:i w:val="0"/>
                <w:sz w:val="18"/>
              </w:rPr>
              <w:t>Exclude existing assets or lease them at a documented rate.</w:t>
            </w:r>
          </w:p>
        </w:tc>
        <w:tc>
          <w:tcPr>
            <w:tcW w:type="dxa" w:w="1296"/>
            <w:shd w:val="clear" w:color="auto" w:fill="F2F2F2"/>
            <w:vAlign w:val="center"/>
          </w:tcPr>
          <w:p>
            <w:r>
              <w:rPr>
                <w:b w:val="0"/>
                <w:i w:val="0"/>
                <w:sz w:val="18"/>
              </w:rPr>
              <w:t>2 CFR Part 200, Subpart E (Cost Principles — allowability, allocability, reasonableness)</w:t>
            </w:r>
          </w:p>
        </w:tc>
        <w:tc>
          <w:tcPr>
            <w:tcW w:type="dxa" w:w="432"/>
            <w:shd w:val="clear" w:color="auto" w:fill="F2F2F2"/>
            <w:vAlign w:val="center"/>
          </w:tcPr>
          <w:p>
            <w:pPr>
              <w:jc w:val="center"/>
            </w:pPr>
            <w:r>
              <w:rPr>
                <w:b w:val="0"/>
                <w:i w:val="0"/>
                <w:sz w:val="18"/>
              </w:rPr>
              <w:t>PENDING</w:t>
            </w:r>
          </w:p>
        </w:tc>
      </w:tr>
      <w:tr>
        <w:tc>
          <w:tcPr>
            <w:tcW w:type="dxa" w:w="432"/>
            <w:vAlign w:val="center"/>
          </w:tcPr>
          <w:p>
            <w:pPr>
              <w:jc w:val="center"/>
            </w:pPr>
            <w:r>
              <w:rPr>
                <w:b w:val="0"/>
                <w:i w:val="0"/>
                <w:sz w:val="18"/>
              </w:rPr>
              <w:t>5</w:t>
            </w:r>
          </w:p>
        </w:tc>
        <w:tc>
          <w:tcPr>
            <w:tcW w:type="dxa" w:w="1728"/>
            <w:vAlign w:val="center"/>
          </w:tcPr>
          <w:p>
            <w:r>
              <w:rPr>
                <w:b w:val="0"/>
                <w:i w:val="0"/>
                <w:sz w:val="18"/>
              </w:rPr>
              <w:t>Customer receipts / revenue handling</w:t>
            </w:r>
          </w:p>
        </w:tc>
        <w:tc>
          <w:tcPr>
            <w:tcW w:type="dxa" w:w="2016"/>
            <w:vAlign w:val="center"/>
          </w:tcPr>
          <w:p>
            <w:r>
              <w:rPr>
                <w:b w:val="0"/>
                <w:i w:val="0"/>
                <w:sz w:val="18"/>
              </w:rPr>
              <w:t>Determines who collects retail receipts and how they are retained and accessed.</w:t>
            </w:r>
          </w:p>
        </w:tc>
        <w:tc>
          <w:tcPr>
            <w:tcW w:type="dxa" w:w="1872"/>
            <w:vAlign w:val="center"/>
          </w:tcPr>
          <w:p>
            <w:r>
              <w:rPr>
                <w:b w:val="0"/>
                <w:i w:val="0"/>
                <w:sz w:val="18"/>
              </w:rPr>
              <w:t>RIVR Tech collects as provider of record with segregated records and Tribe access.</w:t>
            </w:r>
          </w:p>
        </w:tc>
        <w:tc>
          <w:tcPr>
            <w:tcW w:type="dxa" w:w="1584"/>
            <w:vAlign w:val="center"/>
          </w:tcPr>
          <w:p>
            <w:r>
              <w:rPr>
                <w:b w:val="0"/>
                <w:i w:val="0"/>
                <w:sz w:val="18"/>
              </w:rPr>
              <w:t>Tribe-controlled account with RIVR Tech remitting collections.</w:t>
            </w:r>
          </w:p>
        </w:tc>
        <w:tc>
          <w:tcPr>
            <w:tcW w:type="dxa" w:w="1296"/>
            <w:vAlign w:val="center"/>
          </w:tcPr>
          <w:p>
            <w:r>
              <w:rPr>
                <w:b w:val="0"/>
                <w:i w:val="0"/>
                <w:sz w:val="18"/>
              </w:rPr>
              <w:t>2 CFR 200.334–200.337 (Record retention and access; three-year retention); 2 CFR 200.307 (Program income)</w:t>
            </w:r>
          </w:p>
        </w:tc>
        <w:tc>
          <w:tcPr>
            <w:tcW w:type="dxa" w:w="432"/>
            <w:vAlign w:val="center"/>
          </w:tcPr>
          <w:p>
            <w:pPr>
              <w:jc w:val="center"/>
            </w:pPr>
            <w:r>
              <w:rPr>
                <w:b w:val="0"/>
                <w:i w:val="0"/>
                <w:sz w:val="18"/>
              </w:rPr>
              <w:t>PENDING</w:t>
            </w:r>
          </w:p>
        </w:tc>
      </w:tr>
      <w:tr>
        <w:tc>
          <w:tcPr>
            <w:tcW w:type="dxa" w:w="432"/>
            <w:shd w:val="clear" w:color="auto" w:fill="F2F2F2"/>
            <w:vAlign w:val="center"/>
          </w:tcPr>
          <w:p>
            <w:pPr>
              <w:jc w:val="center"/>
            </w:pPr>
            <w:r>
              <w:rPr>
                <w:b w:val="0"/>
                <w:i w:val="0"/>
                <w:sz w:val="18"/>
              </w:rPr>
              <w:t>6</w:t>
            </w:r>
          </w:p>
        </w:tc>
        <w:tc>
          <w:tcPr>
            <w:tcW w:type="dxa" w:w="1728"/>
            <w:shd w:val="clear" w:color="auto" w:fill="F2F2F2"/>
            <w:vAlign w:val="center"/>
          </w:tcPr>
          <w:p>
            <w:r>
              <w:rPr>
                <w:b w:val="0"/>
                <w:i w:val="0"/>
                <w:sz w:val="18"/>
              </w:rPr>
              <w:t>Per-subscriber payment characterization (program income)</w:t>
            </w:r>
          </w:p>
        </w:tc>
        <w:tc>
          <w:tcPr>
            <w:tcW w:type="dxa" w:w="2016"/>
            <w:shd w:val="clear" w:color="auto" w:fill="F2F2F2"/>
            <w:vAlign w:val="center"/>
          </w:tcPr>
          <w:p>
            <w:r>
              <w:rPr>
                <w:b w:val="0"/>
                <w:i w:val="0"/>
                <w:sz w:val="18"/>
              </w:rPr>
              <w:t>Program-income treatment turns on the Award and this determination, not the contractual label.</w:t>
            </w:r>
          </w:p>
        </w:tc>
        <w:tc>
          <w:tcPr>
            <w:tcW w:type="dxa" w:w="1872"/>
            <w:shd w:val="clear" w:color="auto" w:fill="F2F2F2"/>
            <w:vAlign w:val="center"/>
          </w:tcPr>
          <w:p>
            <w:r>
              <w:rPr>
                <w:b w:val="0"/>
                <w:i w:val="0"/>
                <w:sz w:val="18"/>
              </w:rPr>
              <w:t>$[X] per Active Subscriber per month as a Per-Active-Subscriber Operating Payment (Option D).</w:t>
            </w:r>
          </w:p>
        </w:tc>
        <w:tc>
          <w:tcPr>
            <w:tcW w:type="dxa" w:w="1584"/>
            <w:shd w:val="clear" w:color="auto" w:fill="F2F2F2"/>
            <w:vAlign w:val="center"/>
          </w:tcPr>
          <w:p>
            <w:r>
              <w:rPr>
                <w:b w:val="0"/>
                <w:i w:val="0"/>
                <w:sz w:val="18"/>
              </w:rPr>
              <w:t>Options A/B/C/E if Option D is not accepted.</w:t>
            </w:r>
          </w:p>
        </w:tc>
        <w:tc>
          <w:tcPr>
            <w:tcW w:type="dxa" w:w="1296"/>
            <w:shd w:val="clear" w:color="auto" w:fill="F2F2F2"/>
            <w:vAlign w:val="center"/>
          </w:tcPr>
          <w:p>
            <w:r>
              <w:rPr>
                <w:b w:val="0"/>
                <w:i w:val="0"/>
                <w:sz w:val="18"/>
              </w:rPr>
              <w:t>2 CFR 200.307 (Program income)</w:t>
            </w:r>
          </w:p>
        </w:tc>
        <w:tc>
          <w:tcPr>
            <w:tcW w:type="dxa" w:w="432"/>
            <w:shd w:val="clear" w:color="auto" w:fill="F2F2F2"/>
            <w:vAlign w:val="center"/>
          </w:tcPr>
          <w:p>
            <w:pPr>
              <w:jc w:val="center"/>
            </w:pPr>
            <w:r>
              <w:rPr>
                <w:b w:val="0"/>
                <w:i w:val="0"/>
                <w:sz w:val="18"/>
              </w:rPr>
              <w:t>PENDING</w:t>
            </w:r>
          </w:p>
        </w:tc>
      </w:tr>
      <w:tr>
        <w:tc>
          <w:tcPr>
            <w:tcW w:type="dxa" w:w="432"/>
            <w:vAlign w:val="center"/>
          </w:tcPr>
          <w:p>
            <w:pPr>
              <w:jc w:val="center"/>
            </w:pPr>
            <w:r>
              <w:rPr>
                <w:b w:val="0"/>
                <w:i w:val="0"/>
                <w:sz w:val="18"/>
              </w:rPr>
              <w:t>7</w:t>
            </w:r>
          </w:p>
        </w:tc>
        <w:tc>
          <w:tcPr>
            <w:tcW w:type="dxa" w:w="1728"/>
            <w:vAlign w:val="center"/>
          </w:tcPr>
          <w:p>
            <w:r>
              <w:rPr>
                <w:b w:val="0"/>
                <w:i w:val="0"/>
                <w:sz w:val="18"/>
              </w:rPr>
              <w:t>Commercial / non-project capacity use</w:t>
            </w:r>
          </w:p>
        </w:tc>
        <w:tc>
          <w:tcPr>
            <w:tcW w:type="dxa" w:w="2016"/>
            <w:vAlign w:val="center"/>
          </w:tcPr>
          <w:p>
            <w:r>
              <w:rPr>
                <w:b w:val="0"/>
                <w:i w:val="0"/>
                <w:sz w:val="18"/>
              </w:rPr>
              <w:t>Commercial use of grant capacity may generate program income or be prohibited.</w:t>
            </w:r>
          </w:p>
        </w:tc>
        <w:tc>
          <w:tcPr>
            <w:tcW w:type="dxa" w:w="1872"/>
            <w:vAlign w:val="center"/>
          </w:tcPr>
          <w:p>
            <w:r>
              <w:rPr>
                <w:b w:val="0"/>
                <w:i w:val="0"/>
                <w:sz w:val="18"/>
              </w:rPr>
              <w:t>Defined reserved commercial capacity, valued and approved before use.</w:t>
            </w:r>
          </w:p>
        </w:tc>
        <w:tc>
          <w:tcPr>
            <w:tcW w:type="dxa" w:w="1584"/>
            <w:vAlign w:val="center"/>
          </w:tcPr>
          <w:p>
            <w:r>
              <w:rPr>
                <w:b w:val="0"/>
                <w:i w:val="0"/>
                <w:sz w:val="18"/>
              </w:rPr>
              <w:t>No commercial use of grant capacity.</w:t>
            </w:r>
          </w:p>
        </w:tc>
        <w:tc>
          <w:tcPr>
            <w:tcW w:type="dxa" w:w="1296"/>
            <w:vAlign w:val="center"/>
          </w:tcPr>
          <w:p>
            <w:r>
              <w:rPr>
                <w:b w:val="0"/>
                <w:i w:val="0"/>
                <w:sz w:val="18"/>
              </w:rPr>
              <w:t>2 CFR 200.307 (Program income); 2 CFR 200.313 (Equipment — use, management, and disposition)</w:t>
            </w:r>
          </w:p>
        </w:tc>
        <w:tc>
          <w:tcPr>
            <w:tcW w:type="dxa" w:w="432"/>
            <w:vAlign w:val="center"/>
          </w:tcPr>
          <w:p>
            <w:pPr>
              <w:jc w:val="center"/>
            </w:pPr>
            <w:r>
              <w:rPr>
                <w:b w:val="0"/>
                <w:i w:val="0"/>
                <w:sz w:val="18"/>
              </w:rPr>
              <w:t>PENDING</w:t>
            </w:r>
          </w:p>
        </w:tc>
      </w:tr>
      <w:tr>
        <w:tc>
          <w:tcPr>
            <w:tcW w:type="dxa" w:w="432"/>
            <w:shd w:val="clear" w:color="auto" w:fill="F2F2F2"/>
            <w:vAlign w:val="center"/>
          </w:tcPr>
          <w:p>
            <w:pPr>
              <w:jc w:val="center"/>
            </w:pPr>
            <w:r>
              <w:rPr>
                <w:b w:val="0"/>
                <w:i w:val="0"/>
                <w:sz w:val="18"/>
              </w:rPr>
              <w:t>8</w:t>
            </w:r>
          </w:p>
        </w:tc>
        <w:tc>
          <w:tcPr>
            <w:tcW w:type="dxa" w:w="1728"/>
            <w:shd w:val="clear" w:color="auto" w:fill="F2F2F2"/>
            <w:vAlign w:val="center"/>
          </w:tcPr>
          <w:p>
            <w:r>
              <w:rPr>
                <w:b w:val="0"/>
                <w:i w:val="0"/>
                <w:sz w:val="18"/>
              </w:rPr>
              <w:t>Contractor pricing / margin reasonableness</w:t>
            </w:r>
          </w:p>
        </w:tc>
        <w:tc>
          <w:tcPr>
            <w:tcW w:type="dxa" w:w="2016"/>
            <w:shd w:val="clear" w:color="auto" w:fill="F2F2F2"/>
            <w:vAlign w:val="center"/>
          </w:tcPr>
          <w:p>
            <w:r>
              <w:rPr>
                <w:b w:val="0"/>
                <w:i w:val="0"/>
                <w:sz w:val="18"/>
              </w:rPr>
              <w:t>Costs charged to the award must be reasonable, allocable, and allowable.</w:t>
            </w:r>
          </w:p>
        </w:tc>
        <w:tc>
          <w:tcPr>
            <w:tcW w:type="dxa" w:w="1872"/>
            <w:shd w:val="clear" w:color="auto" w:fill="F2F2F2"/>
            <w:vAlign w:val="center"/>
          </w:tcPr>
          <w:p>
            <w:r>
              <w:rPr>
                <w:b w:val="0"/>
                <w:i w:val="0"/>
                <w:sz w:val="18"/>
              </w:rPr>
              <w:t>Cost/price analysis supporting RIVR Tech pricing and margin on record.</w:t>
            </w:r>
          </w:p>
        </w:tc>
        <w:tc>
          <w:tcPr>
            <w:tcW w:type="dxa" w:w="1584"/>
            <w:shd w:val="clear" w:color="auto" w:fill="F2F2F2"/>
            <w:vAlign w:val="center"/>
          </w:tcPr>
          <w:p>
            <w:r>
              <w:rPr>
                <w:b w:val="0"/>
                <w:i w:val="0"/>
                <w:sz w:val="18"/>
              </w:rPr>
              <w:t>Renegotiate pricing or competitively re-solicit.</w:t>
            </w:r>
          </w:p>
        </w:tc>
        <w:tc>
          <w:tcPr>
            <w:tcW w:type="dxa" w:w="1296"/>
            <w:shd w:val="clear" w:color="auto" w:fill="F2F2F2"/>
            <w:vAlign w:val="center"/>
          </w:tcPr>
          <w:p>
            <w:r>
              <w:rPr>
                <w:b w:val="0"/>
                <w:i w:val="0"/>
                <w:sz w:val="18"/>
              </w:rPr>
              <w:t>2 CFR 200.317–200.327 (Procurement standards); 2 CFR Part 200, Subpart E (Cost Principles — allowability, allocability, reasonableness)</w:t>
            </w:r>
          </w:p>
        </w:tc>
        <w:tc>
          <w:tcPr>
            <w:tcW w:type="dxa" w:w="432"/>
            <w:shd w:val="clear" w:color="auto" w:fill="F2F2F2"/>
            <w:vAlign w:val="center"/>
          </w:tcPr>
          <w:p>
            <w:pPr>
              <w:jc w:val="center"/>
            </w:pPr>
            <w:r>
              <w:rPr>
                <w:b w:val="0"/>
                <w:i w:val="0"/>
                <w:sz w:val="18"/>
              </w:rPr>
              <w:t>PENDING</w:t>
            </w:r>
          </w:p>
        </w:tc>
      </w:tr>
      <w:tr>
        <w:tc>
          <w:tcPr>
            <w:tcW w:type="dxa" w:w="432"/>
            <w:vAlign w:val="center"/>
          </w:tcPr>
          <w:p>
            <w:pPr>
              <w:jc w:val="center"/>
            </w:pPr>
            <w:r>
              <w:rPr>
                <w:b w:val="0"/>
                <w:i w:val="0"/>
                <w:sz w:val="18"/>
              </w:rPr>
              <w:t>9</w:t>
            </w:r>
          </w:p>
        </w:tc>
        <w:tc>
          <w:tcPr>
            <w:tcW w:type="dxa" w:w="1728"/>
            <w:vAlign w:val="center"/>
          </w:tcPr>
          <w:p>
            <w:r>
              <w:rPr>
                <w:b w:val="0"/>
                <w:i w:val="0"/>
                <w:sz w:val="18"/>
              </w:rPr>
              <w:t>Out-of-scope service</w:t>
            </w:r>
          </w:p>
        </w:tc>
        <w:tc>
          <w:tcPr>
            <w:tcW w:type="dxa" w:w="2016"/>
            <w:vAlign w:val="center"/>
          </w:tcPr>
          <w:p>
            <w:r>
              <w:rPr>
                <w:b w:val="0"/>
                <w:i w:val="0"/>
                <w:sz w:val="18"/>
              </w:rPr>
              <w:t>Services beyond the approved scope may be unallowable or require prior approval.</w:t>
            </w:r>
          </w:p>
        </w:tc>
        <w:tc>
          <w:tcPr>
            <w:tcW w:type="dxa" w:w="1872"/>
            <w:vAlign w:val="center"/>
          </w:tcPr>
          <w:p>
            <w:r>
              <w:rPr>
                <w:b w:val="0"/>
                <w:i w:val="0"/>
                <w:sz w:val="18"/>
              </w:rPr>
              <w:t>Confine funded work to the approved scope; document any additions.</w:t>
            </w:r>
          </w:p>
        </w:tc>
        <w:tc>
          <w:tcPr>
            <w:tcW w:type="dxa" w:w="1584"/>
            <w:vAlign w:val="center"/>
          </w:tcPr>
          <w:p>
            <w:r>
              <w:rPr>
                <w:b w:val="0"/>
                <w:i w:val="0"/>
                <w:sz w:val="18"/>
              </w:rPr>
              <w:t>Handle additions through a separate non-grant commercial arrangement.</w:t>
            </w:r>
          </w:p>
        </w:tc>
        <w:tc>
          <w:tcPr>
            <w:tcW w:type="dxa" w:w="1296"/>
            <w:vAlign w:val="center"/>
          </w:tcPr>
          <w:p>
            <w:r>
              <w:rPr>
                <w:b w:val="0"/>
                <w:i w:val="0"/>
                <w:sz w:val="18"/>
              </w:rPr>
              <w:t>2 CFR Part 200, Subpart E (Cost Principles — allowability, allocability, reasonableness)</w:t>
            </w:r>
          </w:p>
        </w:tc>
        <w:tc>
          <w:tcPr>
            <w:tcW w:type="dxa" w:w="432"/>
            <w:vAlign w:val="center"/>
          </w:tcPr>
          <w:p>
            <w:pPr>
              <w:jc w:val="center"/>
            </w:pPr>
            <w:r>
              <w:rPr>
                <w:b w:val="0"/>
                <w:i w:val="0"/>
                <w:sz w:val="18"/>
              </w:rPr>
              <w:t>PENDING</w:t>
            </w:r>
          </w:p>
        </w:tc>
      </w:tr>
    </w:tbl>
    <w:p>
      <w:pPr>
        <w:pStyle w:val="Heading1"/>
        <w:spacing w:before="240" w:after="120"/>
      </w:pPr>
      <w:r>
        <w:rPr>
          <w:rFonts w:ascii="Calibri" w:hAnsi="Calibri"/>
          <w:b/>
          <w:color w:val="1F3864"/>
          <w:sz w:val="26"/>
        </w:rPr>
        <w:t>ARTICLE 3.  REQUESTED ACTION AND NEXT STEPS</w:t>
      </w:r>
    </w:p>
    <w:p>
      <w:r>
        <w:rPr>
          <w:b w:val="0"/>
          <w:i w:val="0"/>
        </w:rPr>
        <w:t>The Tribe requests written determinations on each item above, or guidance on the information NTIA requires to issue them. The Tribe will supply the executed Award, approved application, budget, routes, and supporting records upon request.</w:t>
      </w:r>
    </w:p>
    <w:p>
      <w:pPr>
        <w:ind w:left="504"/>
      </w:pPr>
      <w:r>
        <w:rPr>
          <w:b/>
          <w:color w:val="7F007F"/>
        </w:rPr>
        <w:t xml:space="preserve">[GRANT COMPLIANCE REVIEW REQUIRED]  </w:t>
      </w:r>
      <w:r>
        <w:rPr>
          <w:i/>
          <w:color w:val="595959"/>
        </w:rPr>
        <w:t>Threshold matter: confirm the Tribe's TBCP eligibility in light of its federal-recognition status. Lumbee Act of 1956, Pub. L. 84-570, 70 Stat. 254 (federal-recognition status affecting TBCP eligibility)</w:t>
      </w:r>
    </w:p>
    <w:p>
      <w:pPr>
        <w:pStyle w:val="Heading1"/>
        <w:spacing w:before="240" w:after="120"/>
      </w:pPr>
      <w:r>
        <w:rPr>
          <w:rFonts w:ascii="Calibri" w:hAnsi="Calibri"/>
          <w:b/>
          <w:color w:val="1F3864"/>
          <w:sz w:val="26"/>
        </w:rPr>
        <w:t>ARTICLE 4.  CLOSING DISCLAIMER AND RESERVATION</w:t>
      </w:r>
    </w:p>
    <w:p>
      <w:r>
        <w:rPr>
          <w:b w:val="0"/>
          <w:i/>
        </w:rPr>
        <w:t>These drafts are provided for business planning and attorney review only. They are preliminary, non-binding, incomplete, and prepared without any controlling TBCP award or source documents. The provisional baseline is the March 2024 amended Round 2 NOFO; Round 3 is the live TBCP round as of the version date, and the controlling round and executed award must be confirmed before anything here is finalized. Every bracketed item, highlighted placeholder, and flagged provision requires confirmation by qualified counsel, grant, financial, and technical advisors. Nothing in these drafts constitutes legal, financial, tax, or grant-compliance advice, creates any binding obligation, or waives any right, remedy, or sovereign immunity. In the event of any conflict, the executed TBCP award, applicable federal and state law, and any required governmental consent control; nothing in these drafts may be relied upon to supersede the TBCP award, applicable law, or required governmental consent.</w:t>
      </w:r>
    </w:p>
    <w:p>
      <w:pPr>
        <w:ind w:left="504"/>
      </w:pPr>
      <w:r>
        <w:rPr>
          <w:b/>
          <w:color w:val="0000C0"/>
        </w:rPr>
        <w:t xml:space="preserve">[ATTORNEY REVIEW REQUIRED]  </w:t>
      </w:r>
      <w:r>
        <w:rPr>
          <w:i/>
          <w:color w:val="595959"/>
        </w:rPr>
        <w:t>This document is attorney work product prepared for the common interest of the Lumbee Tribe and RIVR Tech; it is not final legal advice and must be reviewed and completed by qualified counsel before use.</w:t>
      </w:r>
    </w:p>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680" w:val="center"/>
        <w:tab w:pos="9360" w:val="right"/>
      </w:tabs>
    </w:pPr>
    <w:r>
      <w:rPr>
        <w:color w:val="595959"/>
        <w:sz w:val="16"/>
      </w:rPr>
    </w:r>
    <w:r>
      <w:rPr>
        <w:color w:val="595959"/>
        <w:sz w:val="16"/>
      </w:rPr>
      <w:t>Preliminary Draft v0.1 | September 26, 2026</w:t>
    </w:r>
    <w:r>
      <w:rPr>
        <w:color w:val="595959"/>
        <w:sz w:val="16"/>
      </w:rPr>
      <w:tab/>
    </w:r>
    <w:r>
      <w:rPr>
        <w:color w:val="595959"/>
        <w:sz w:val="16"/>
      </w:rPr>
      <w:fldChar w:fldCharType="begin"/>
      <w:instrText xml:space="preserve">PAGE</w:instrText>
      <w:fldChar w:fldCharType="separate"/>
      <w:fldChar w:fldCharType="end"/>
    </w:r>
    <w:r>
      <w:rPr>
        <w:color w:val="595959"/>
        <w:sz w:val="16"/>
      </w:rPr>
      <w:t xml:space="preserve"> of </w:t>
    </w:r>
    <w:r>
      <w:rPr>
        <w:color w:val="595959"/>
        <w:sz w:val="16"/>
      </w:rPr>
      <w:fldChar w:fldCharType="begin"/>
      <w:instrText xml:space="preserve">NUMPAGES</w:instrText>
      <w:fldChar w:fldCharType="separate"/>
      <w:fldChar w:fldCharType="end"/>
    </w:r>
    <w:r>
      <w:tab/>
    </w:r>
    <w:r>
      <w:rPr>
        <w:color w:val="595959"/>
        <w:sz w:val="16"/>
      </w:rPr>
      <w:t>Confidential — Draft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
      <w:rPr>
        <w:i/>
        <w:color w:val="595959"/>
        <w:sz w:val="16"/>
      </w:rPr>
      <w:t>Federal Approval Request  —  PRELIMINARY DRAFT – SUBJECT TO LEGAL, GRANT AND FINANCIAL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