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22"/>
          <w:highlight w:val="yellow"/>
        </w:rPr>
        <w:t>DRAFT FOR DISCUSSION – SUBJECT TO LEGAL, GRANT AND FINANCIAL REVIEW</w:t>
      </w:r>
    </w:p>
    <w:p/>
    <w:p/>
    <w:p/>
    <w:p>
      <w:pPr>
        <w:jc w:val="center"/>
      </w:pPr>
      <w:r>
        <w:rPr>
          <w:b/>
          <w:color w:val="595959"/>
          <w:sz w:val="24"/>
        </w:rPr>
        <w:t>DELIVERABLE 5 · SCHEDULE 04 TO THE CORE AGREEMENTS</w:t>
      </w:r>
    </w:p>
    <w:p>
      <w:pPr>
        <w:jc w:val="center"/>
      </w:pPr>
      <w:r>
        <w:rPr>
          <w:b/>
          <w:color w:val="1F3864"/>
          <w:sz w:val="48"/>
        </w:rPr>
        <w:t>Financial and Revenue-Sharing Schedule</w:t>
      </w:r>
    </w:p>
    <w:p>
      <w:pPr>
        <w:jc w:val="center"/>
      </w:pPr>
      <w:r>
        <w:rPr>
          <w:color w:val="595959"/>
          <w:sz w:val="28"/>
        </w:rPr>
        <w:t>Consideration, Payment Structures, Definitions, and Financial Controls for the Indefeasible Right of Use (IRU) and Operating Arrangement</w:t>
      </w:r>
    </w:p>
    <w:p/>
    <w:p/>
    <w:p>
      <w:pPr>
        <w:jc w:val="center"/>
      </w:pPr>
      <w:r>
        <w:rPr>
          <w:i/>
          <w:sz w:val="22"/>
        </w:rPr>
        <w:t>by and between</w:t>
      </w:r>
    </w:p>
    <w:p>
      <w:pPr>
        <w:jc w:val="center"/>
      </w:pPr>
      <w:r>
        <w:rPr>
          <w:b/>
          <w:i w:val="0"/>
          <w:color w:val="1F3864"/>
          <w:sz w:val="28"/>
        </w:rPr>
        <w:t>Lumbee Tribe of North Carolina</w:t>
      </w:r>
    </w:p>
    <w:p>
      <w:pPr>
        <w:jc w:val="center"/>
      </w:pPr>
      <w:r>
        <w:rPr>
          <w:b w:val="0"/>
          <w:i/>
          <w:sz w:val="22"/>
        </w:rPr>
        <w:t>and</w:t>
      </w:r>
    </w:p>
    <w:p>
      <w:pPr>
        <w:jc w:val="center"/>
      </w:pPr>
      <w:r>
        <w:rPr>
          <w:b/>
          <w:i w:val="0"/>
          <w:color w:val="1F3864"/>
          <w:sz w:val="28"/>
        </w:rPr>
        <w:t>LREMC Technologies, LLC d/b/a RIVR Tech</w:t>
      </w:r>
    </w:p>
    <w:p/>
    <w:p/>
    <w:p/>
    <w:p/>
    <w:p>
      <w:pPr>
        <w:jc w:val="center"/>
      </w:pPr>
      <w:r>
        <w:rPr>
          <w:b/>
          <w:sz w:val="20"/>
        </w:rPr>
        <w:t xml:space="preserve">Version:  </w:t>
      </w:r>
      <w:r>
        <w:rPr>
          <w:sz w:val="20"/>
        </w:rPr>
        <w:t>Draft v0.1</w:t>
      </w:r>
    </w:p>
    <w:p>
      <w:pPr>
        <w:jc w:val="center"/>
      </w:pPr>
      <w:r>
        <w:rPr>
          <w:b/>
          <w:sz w:val="20"/>
        </w:rPr>
        <w:t xml:space="preserve">Version Date:  </w:t>
      </w:r>
      <w:r>
        <w:rPr>
          <w:sz w:val="20"/>
        </w:rPr>
        <w:t>July 16, 2026</w:t>
      </w:r>
    </w:p>
    <w:p>
      <w:pPr>
        <w:jc w:val="center"/>
      </w:pPr>
      <w:r>
        <w:rPr>
          <w:b/>
          <w:sz w:val="20"/>
        </w:rPr>
        <w:t xml:space="preserve">Document Status:  </w:t>
      </w:r>
      <w:r>
        <w:rPr>
          <w:sz w:val="20"/>
        </w:rPr>
        <w:t>Working draft — not executed; not final legal advice</w:t>
      </w:r>
    </w:p>
    <w:p>
      <w:pPr>
        <w:jc w:val="center"/>
      </w:pPr>
      <w:r>
        <w:rPr>
          <w:b/>
          <w:sz w:val="20"/>
        </w:rPr>
        <w:t xml:space="preserve">Program:  </w:t>
      </w:r>
      <w:r>
        <w:rPr>
          <w:sz w:val="20"/>
        </w:rPr>
        <w:t>Tribal Broadband Connectivity Program (TBCP), National Telecommunications and Information Administration (NTIA)</w:t>
      </w:r>
    </w:p>
    <w:p/>
    <w:p/>
    <w:p>
      <w:pPr>
        <w:jc w:val="center"/>
      </w:pPr>
      <w:r>
        <w:rPr>
          <w:i/>
          <w:color w:val="595959"/>
          <w:sz w:val="18"/>
        </w:rPr>
        <w:t>CONFIDENTIAL – ATTORNEY WORK PRODUCT / SUBJECT TO COMMON-INTEREST PRIVILEGE</w:t>
      </w:r>
    </w:p>
    <w:p>
      <w:r>
        <w:br w:type="page"/>
      </w:r>
    </w:p>
    <w:p>
      <w:r>
        <w:rPr>
          <w:b/>
          <w:color w:val="1F3864"/>
          <w:sz w:val="28"/>
        </w:rPr>
        <w:t>TABLE OF CONTENTS</w:t>
      </w:r>
    </w:p>
    <w:p>
      <w:r>
        <w:rPr>
          <w:i/>
          <w:color w:val="595959"/>
          <w:sz w:val="18"/>
        </w:rPr>
        <w:t>(Right-click and choose “Update Field” in Microsoft Word to populate page numbers.)</w:t>
      </w:r>
    </w:p>
    <w:p>
      <w:r>
        <w:fldChar w:fldCharType="begin"/>
        <w:instrText xml:space="preserve">TOC \o "1-3" \h \z \u</w:instrText>
        <w:fldChar w:fldCharType="separate"/>
        <w:fldChar w:fldCharType="end"/>
      </w:r>
    </w:p>
    <w:p>
      <w:r>
        <w:br w:type="page"/>
      </w:r>
    </w:p>
    <w:p>
      <w:pPr>
        <w:jc w:val="center"/>
      </w:pPr>
      <w:r>
        <w:rPr>
          <w:b/>
          <w:color w:val="C00000"/>
          <w:highlight w:val="yellow"/>
        </w:rPr>
        <w:t>DRAFT FOR DISCUSSION – SUBJECT TO LEGAL, GRANT AND FINANCIAL REVIEW</w:t>
      </w:r>
    </w:p>
    <w:p/>
    <w:p>
      <w:r>
        <w:rPr>
          <w:b w:val="0"/>
          <w:i w:val="0"/>
        </w:rPr>
        <w:t xml:space="preserve">This Financial and Revenue-Sharing Schedule (this “Schedule”) is Schedule 04 to, and is incorporated by reference into, the Indefeasible Right of Use and Operating Agreement and the other Core Agreements (collectively, the “Agreement”) entered into as of </w:t>
      </w:r>
      <w:r>
        <w:rPr>
          <w:b w:val="0"/>
          <w:i w:val="0"/>
          <w:color w:val="804000"/>
          <w:highlight w:val="yellow"/>
        </w:rPr>
        <w:t>[■ Effective Date]</w:t>
      </w:r>
      <w:r>
        <w:rPr>
          <w:b w:val="0"/>
          <w:i w:val="0"/>
        </w:rPr>
        <w:t xml:space="preserve"> (the “Effective Date”) by and between Lumbee Tribe of North Carolina (the “Tribe”), or a wholly owned Tribal entity or Tribally chartered instrumentality designated by the Tribe, and LREMC Technologies, LLC d/b/a RIVR Tech (“RIVR Tech”). The Tribe and RIVR Tech are each a “Party” and together the “Parties.” Capitalized terms used but not defined in this Schedule have the meanings given in the Agreement.</w:t>
      </w:r>
    </w:p>
    <w:p/>
    <w:p>
      <w:pPr>
        <w:pStyle w:val="Heading1"/>
        <w:spacing w:before="240" w:after="120"/>
      </w:pPr>
      <w:r>
        <w:rPr>
          <w:rFonts w:ascii="Calibri" w:hAnsi="Calibri"/>
          <w:b/>
          <w:color w:val="1F3864"/>
          <w:sz w:val="26"/>
        </w:rPr>
        <w:t>ARTICLE 1.  PURPOSE, SCOPE, AND RELATIONSHIP TO OTHER DOCUMENTS</w:t>
      </w:r>
    </w:p>
    <w:p>
      <w:pPr>
        <w:pStyle w:val="Heading2"/>
        <w:spacing w:before="160" w:after="60"/>
      </w:pPr>
      <w:r>
        <w:rPr>
          <w:rFonts w:ascii="Calibri" w:hAnsi="Calibri"/>
          <w:b/>
          <w:color w:val="000000"/>
          <w:sz w:val="22"/>
        </w:rPr>
        <w:t>1.1  Purpose</w:t>
      </w:r>
    </w:p>
    <w:p>
      <w:r>
        <w:rPr>
          <w:b w:val="0"/>
          <w:i w:val="0"/>
        </w:rPr>
        <w:t>This Schedule sets forth the financial consideration for the IRU, the alternative payment and revenue-sharing structures under evaluation, the defined revenue and expense terms on which every such structure depends, and the financial-control, audit, reconciliation, and reserve mechanics that apply once a structure is selected. This Schedule governs the flow of money between the Parties; it does not modify the grant-compliance obligations, which are addressed in the TBCP Grant Compliance and Federal Interest Addendum (Deliverable 6).</w:t>
      </w:r>
    </w:p>
    <w:p>
      <w:pPr>
        <w:pStyle w:val="Heading2"/>
        <w:spacing w:before="160" w:after="60"/>
      </w:pPr>
      <w:r>
        <w:rPr>
          <w:rFonts w:ascii="Calibri" w:hAnsi="Calibri"/>
          <w:b/>
          <w:color w:val="000000"/>
          <w:sz w:val="22"/>
        </w:rPr>
        <w:t>1.2  Relationship to the Financial Model</w:t>
      </w:r>
    </w:p>
    <w:p>
      <w:r>
        <w:rPr>
          <w:b w:val="0"/>
          <w:i w:val="0"/>
        </w:rPr>
        <w:t xml:space="preserve">The dollar figures, rate assumptions, take-rate ramps, ARPU inputs, expense allocations, reserve balances, and payment computations referenced in this Schedule are maintained in, and MUST correspond to, the separate financial model workbook delivered as </w:t>
      </w:r>
      <w:r>
        <w:rPr>
          <w:b w:val="0"/>
          <w:i w:val="0"/>
          <w:color w:val="804000"/>
          <w:highlight w:val="yellow"/>
        </w:rPr>
        <w:t>[■ 04_Financial_Model (Financial Model workbook)]</w:t>
      </w:r>
      <w:r>
        <w:rPr>
          <w:b w:val="0"/>
          <w:i w:val="0"/>
        </w:rPr>
        <w:t xml:space="preserve"> (the “Financial Model”). Where this Schedule states a mechanism (for example, “5% of Gross Revenue”), the corresponding calculated amounts, sensitivities, and year-by-year schedules live in the Financial Model. In the event of any arithmetic inconsistency between an illustrative figure in this Schedule and the Financial Model, the Parties shall conform the figure to the Financial Model as updated with final, negotiated inputs.</w:t>
      </w:r>
    </w:p>
    <w:p>
      <w:pPr>
        <w:ind w:left="504"/>
      </w:pPr>
      <w:r>
        <w:rPr>
          <w:b/>
          <w:color w:val="C00000"/>
        </w:rPr>
        <w:t xml:space="preserve">[BUSINESS DECISION REQUIRED]  </w:t>
      </w:r>
      <w:r>
        <w:rPr>
          <w:i/>
          <w:color w:val="595959"/>
        </w:rPr>
        <w:t>The economics in this Schedule are not finalized. The specific payment amount, revenue-share percentage, cash-flow-share percentage, fixed base, threshold, and reserve funding rate are open business points to be fixed in negotiation and carried into the Financial Model.</w:t>
      </w:r>
    </w:p>
    <w:p>
      <w:pPr>
        <w:pStyle w:val="Heading2"/>
        <w:spacing w:before="160" w:after="60"/>
      </w:pPr>
      <w:r>
        <w:rPr>
          <w:rFonts w:ascii="Calibri" w:hAnsi="Calibri"/>
          <w:b/>
          <w:color w:val="000000"/>
          <w:sz w:val="22"/>
        </w:rPr>
        <w:t>1.3  Draft and Placeholder Nature</w:t>
      </w:r>
    </w:p>
    <w:p>
      <w:r>
        <w:rPr>
          <w:b w:val="0"/>
          <w:i w:val="0"/>
        </w:rPr>
        <w:t>This Schedule is a working draft. Bracketed, highlighted items denote placeholders for figures or terms that are not yet fixed. Flag markers denote items requiring business, legal, grant-compliance, or technical review before execution. No figure in this Schedule is binding until the Agreement is executed and the Financial Model inputs are final.</w:t>
      </w:r>
    </w:p>
    <w:p>
      <w:pPr>
        <w:pStyle w:val="Heading2"/>
        <w:spacing w:before="160" w:after="60"/>
      </w:pPr>
      <w:r>
        <w:rPr>
          <w:rFonts w:ascii="Calibri" w:hAnsi="Calibri"/>
          <w:b/>
          <w:color w:val="000000"/>
          <w:sz w:val="22"/>
        </w:rPr>
        <w:t>1.4  Program Income — Threshold Compliance Note</w:t>
      </w:r>
    </w:p>
    <w:p>
      <w:r>
        <w:rPr>
          <w:b w:val="0"/>
          <w:i w:val="0"/>
        </w:rPr>
        <w:t>Revenue derived from, or generated by the use of, the Tribal Assets (the grant-funded infrastructure owned by the Tribe) may constitute “Program Income” within the meaning of 2 CFR 200.307 (Program income). Program income is NOT the Tribe’s unrestricted revenue: it must be identified, tracked, and applied in accordance with the TBCP Award and the method (deduction, addition, or cost-sharing/matching) specified or approved by NTIA. Every payment structure in this Schedule is therefore subject to, and must be reconciled against, the program-income treatment set out in Article 4 of this Schedule and Article 5 of the Grant Compliance Addendum.</w:t>
      </w:r>
    </w:p>
    <w:p>
      <w:pPr>
        <w:ind w:left="504"/>
      </w:pPr>
      <w:r>
        <w:rPr>
          <w:b/>
          <w:color w:val="7F007F"/>
        </w:rPr>
        <w:t xml:space="preserve">[GRANT COMPLIANCE REVIEW REQUIRED]  </w:t>
      </w:r>
      <w:r>
        <w:rPr>
          <w:i/>
          <w:color w:val="595959"/>
        </w:rPr>
        <w:t>Confirm with grant counsel and NTIA which program-income method (deduction, addition, or cost sharing) applies to revenue generated by the Tribal Assets, and whether that treatment continues after the period of performance. The selected payment structure must not cause the Tribe to mis-apply program income.</w:t>
      </w:r>
    </w:p>
    <w:p>
      <w:pPr>
        <w:pStyle w:val="Heading1"/>
        <w:spacing w:before="240" w:after="120"/>
      </w:pPr>
      <w:r>
        <w:rPr>
          <w:rFonts w:ascii="Calibri" w:hAnsi="Calibri"/>
          <w:b/>
          <w:color w:val="1F3864"/>
          <w:sz w:val="26"/>
        </w:rPr>
        <w:t>ARTICLE 2.  DEFINITIONS — REVENUE, EXCLUSIONS, AND EXPENSES</w:t>
      </w:r>
    </w:p>
    <w:p>
      <w:r>
        <w:rPr>
          <w:b w:val="0"/>
          <w:i w:val="0"/>
        </w:rPr>
        <w:t>The following definitions are common to all payment structures in Article 3. A single defined-term set prevents the arithmetic from changing merely because a different structure is selected.</w:t>
      </w:r>
    </w:p>
    <w:p>
      <w:pPr>
        <w:pStyle w:val="Heading2"/>
        <w:spacing w:before="160" w:after="60"/>
      </w:pPr>
      <w:r>
        <w:rPr>
          <w:rFonts w:ascii="Calibri" w:hAnsi="Calibri"/>
          <w:b/>
          <w:color w:val="000000"/>
          <w:sz w:val="22"/>
        </w:rPr>
        <w:t>2.1  Gross Revenue</w:t>
      </w:r>
    </w:p>
    <w:p>
      <w:r>
        <w:rPr>
          <w:b w:val="0"/>
          <w:i w:val="0"/>
        </w:rPr>
        <w:t>“Gross Revenue” means all revenue actually received by RIVR Tech (and its affiliates, to the extent derived from the Network or the Tribal Assets), determined on an accrual basis in accordance with U.S. generally accepted accounting principles (“GAAP”), from the sale, resale, or provision of broadband, data, transport, voice, video, and related communications services and facilities over or by means of the Network, before deduction of any Operating Expenses, and INCLUDING the following components:</w:t>
      </w:r>
    </w:p>
    <w:p>
      <w:pPr>
        <w:pStyle w:val="ListBullet"/>
      </w:pPr>
      <w:r>
        <w:rPr>
          <w:b w:val="0"/>
          <w:i w:val="0"/>
        </w:rPr>
        <w:t>Recurring subscription revenue for residential and business Internet-access and data services;</w:t>
      </w:r>
    </w:p>
    <w:p>
      <w:pPr>
        <w:pStyle w:val="ListBullet"/>
      </w:pPr>
      <w:r>
        <w:rPr>
          <w:b w:val="0"/>
          <w:i w:val="0"/>
        </w:rPr>
        <w:t>Installation Revenue (as defined in Section 2.2);</w:t>
      </w:r>
    </w:p>
    <w:p>
      <w:pPr>
        <w:pStyle w:val="ListBullet"/>
      </w:pPr>
      <w:r>
        <w:rPr>
          <w:b w:val="0"/>
          <w:i w:val="0"/>
        </w:rPr>
        <w:t>Voice Revenue (as defined in Section 2.3);</w:t>
      </w:r>
    </w:p>
    <w:p>
      <w:pPr>
        <w:pStyle w:val="ListBullet"/>
      </w:pPr>
      <w:r>
        <w:rPr>
          <w:b w:val="0"/>
          <w:i w:val="0"/>
        </w:rPr>
        <w:t>Equipment Revenue (as defined in Section 2.4);</w:t>
      </w:r>
    </w:p>
    <w:p>
      <w:pPr>
        <w:pStyle w:val="ListBullet"/>
      </w:pPr>
      <w:r>
        <w:rPr>
          <w:b w:val="0"/>
          <w:i w:val="0"/>
        </w:rPr>
        <w:t>Late Fees (as defined in Section 2.5);</w:t>
      </w:r>
    </w:p>
    <w:p>
      <w:pPr>
        <w:pStyle w:val="ListBullet"/>
      </w:pPr>
      <w:r>
        <w:rPr>
          <w:b w:val="0"/>
          <w:i w:val="0"/>
        </w:rPr>
        <w:t>Wholesale Revenue and Enterprise Revenue (as defined in Sections 2.14 and 2.15); and</w:t>
      </w:r>
    </w:p>
    <w:p>
      <w:pPr>
        <w:pStyle w:val="ListBullet"/>
      </w:pPr>
      <w:r>
        <w:rPr>
          <w:b w:val="0"/>
          <w:i w:val="0"/>
        </w:rPr>
        <w:t>Any other consideration received for use of, or access to, the Network, however characterized, that is not an item of Excluded Revenue under Section 2.6.</w:t>
      </w:r>
    </w:p>
    <w:p>
      <w:pPr>
        <w:pStyle w:val="Heading2"/>
        <w:spacing w:before="160" w:after="60"/>
      </w:pPr>
      <w:r>
        <w:rPr>
          <w:rFonts w:ascii="Calibri" w:hAnsi="Calibri"/>
          <w:b/>
          <w:color w:val="000000"/>
          <w:sz w:val="22"/>
        </w:rPr>
        <w:t>2.2  Installation Revenue</w:t>
      </w:r>
    </w:p>
    <w:p>
      <w:r>
        <w:rPr>
          <w:b w:val="0"/>
          <w:i w:val="0"/>
        </w:rPr>
        <w:t>“Installation Revenue” means non-recurring charges billed to and collected from subscribers or third parties for service installation, activation, connection, drop construction, and premises equipment set-up. Installation Revenue is INCLUDED in Gross Revenue when and to the extent it is not reimbursed from, or already counted as, grant funds under Section 2.6(a).</w:t>
      </w:r>
    </w:p>
    <w:p>
      <w:pPr>
        <w:pStyle w:val="Heading2"/>
        <w:spacing w:before="160" w:after="60"/>
      </w:pPr>
      <w:r>
        <w:rPr>
          <w:rFonts w:ascii="Calibri" w:hAnsi="Calibri"/>
          <w:b/>
          <w:color w:val="000000"/>
          <w:sz w:val="22"/>
        </w:rPr>
        <w:t>2.3  Voice Revenue</w:t>
      </w:r>
    </w:p>
    <w:p>
      <w:r>
        <w:rPr>
          <w:b w:val="0"/>
          <w:i w:val="0"/>
        </w:rPr>
        <w:t>“Voice Revenue” means recurring and usage-based charges for interconnected VoIP, fixed voice, and related telephony services provided over the Network, net of the regulatory pass-through amounts excluded under Section 2.6(b). Voice Revenue is INCLUDED in Gross Revenue.</w:t>
      </w:r>
    </w:p>
    <w:p>
      <w:pPr>
        <w:pStyle w:val="Heading2"/>
        <w:spacing w:before="160" w:after="60"/>
      </w:pPr>
      <w:r>
        <w:rPr>
          <w:rFonts w:ascii="Calibri" w:hAnsi="Calibri"/>
          <w:b/>
          <w:color w:val="000000"/>
          <w:sz w:val="22"/>
        </w:rPr>
        <w:t>2.4  Equipment Revenue</w:t>
      </w:r>
    </w:p>
    <w:p>
      <w:r>
        <w:rPr>
          <w:b w:val="0"/>
          <w:i w:val="0"/>
        </w:rPr>
        <w:t>“Equipment Revenue” means amounts billed to subscribers or third parties for the sale, lease, or rental of customer-premises equipment (routers, optical network terminals, mesh units, and similar devices). Equipment Revenue is INCLUDED in Gross Revenue. Refundable equipment deposits are excluded until forfeited or applied.</w:t>
      </w:r>
    </w:p>
    <w:p>
      <w:pPr>
        <w:pStyle w:val="Heading2"/>
        <w:spacing w:before="160" w:after="60"/>
      </w:pPr>
      <w:r>
        <w:rPr>
          <w:rFonts w:ascii="Calibri" w:hAnsi="Calibri"/>
          <w:b/>
          <w:color w:val="000000"/>
          <w:sz w:val="22"/>
        </w:rPr>
        <w:t>2.5  Late Fees</w:t>
      </w:r>
    </w:p>
    <w:p>
      <w:r>
        <w:rPr>
          <w:b w:val="0"/>
          <w:i w:val="0"/>
        </w:rPr>
        <w:t>“Late Fees” means administrative charges billed for delinquent payment, reconnection, and returned-payment handling. Late Fees are INCLUDED in Gross Revenue when actually collected, and are excluded to the extent later reversed or refunded.</w:t>
      </w:r>
    </w:p>
    <w:p>
      <w:pPr>
        <w:pStyle w:val="Heading2"/>
        <w:spacing w:before="160" w:after="60"/>
      </w:pPr>
      <w:r>
        <w:rPr>
          <w:rFonts w:ascii="Calibri" w:hAnsi="Calibri"/>
          <w:b/>
          <w:color w:val="000000"/>
          <w:sz w:val="22"/>
        </w:rPr>
        <w:t>2.6  Excluded Revenue</w:t>
      </w:r>
    </w:p>
    <w:p>
      <w:r>
        <w:rPr>
          <w:b w:val="0"/>
          <w:i w:val="0"/>
        </w:rPr>
        <w:t>“Excluded Revenue” means, without duplication, the following, each of which is EXCLUDED from Gross Revenue:</w:t>
      </w:r>
    </w:p>
    <w:p>
      <w:pPr>
        <w:ind w:left="504"/>
      </w:pPr>
      <w:r>
        <w:rPr>
          <w:b/>
        </w:rPr>
        <w:t xml:space="preserve">(a)  </w:t>
      </w:r>
      <w:r>
        <w:rPr>
          <w:b w:val="0"/>
          <w:i w:val="0"/>
        </w:rPr>
        <w:t>Grant Funds — NEVER Revenue. Any funds received from or through the TBCP Award, any other federal, state, Tribal, or philanthropic grant, subsidy, or contribution-in-aid-of-construction, and any matching or cost-share funds. Grant funds are capital sources for building the Tribal Assets; they are NOT operating revenue and shall never be included in Gross Revenue, in the payment base of any structure in Article 3, or in the RIVR Tech cash-flow computation. Grant funds may, however, constitute Program Income to the extent they generate revenue — see Section 1.4 and Article 4.</w:t>
      </w:r>
    </w:p>
    <w:p>
      <w:pPr>
        <w:ind w:left="504"/>
      </w:pPr>
      <w:r>
        <w:rPr>
          <w:b/>
        </w:rPr>
        <w:t xml:space="preserve">(b)  </w:t>
      </w:r>
      <w:r>
        <w:rPr>
          <w:b w:val="0"/>
          <w:i w:val="0"/>
        </w:rPr>
        <w:t>Taxes (Excluded Pass-Through). Sales, use, excise, gross-receipts, universal-service, 911, right-of-way, franchise, and similar taxes, fees, and surcharges that are billed to and collected from subscribers for remittance to a taxing or regulatory authority, and that are in fact remitted. Amounts retained by RIVR Tech (for example, a billing or administrative fee it is permitted to keep) are NOT excluded.</w:t>
      </w:r>
    </w:p>
    <w:p>
      <w:pPr>
        <w:ind w:left="504"/>
      </w:pPr>
      <w:r>
        <w:rPr>
          <w:b/>
        </w:rPr>
        <w:t xml:space="preserve">(c)  </w:t>
      </w:r>
      <w:r>
        <w:rPr>
          <w:b w:val="0"/>
          <w:i w:val="0"/>
        </w:rPr>
        <w:t>Refunds. Amounts credited, rebated, or refunded to subscribers, and adjustments for billing errors, to the extent those amounts were previously included in Gross Revenue. Refunds are a deduction from Gross Revenue in the period in which they are made, not a separate expense.</w:t>
      </w:r>
    </w:p>
    <w:p>
      <w:pPr>
        <w:ind w:left="504"/>
      </w:pPr>
      <w:r>
        <w:rPr>
          <w:b/>
        </w:rPr>
        <w:t xml:space="preserve">(d)  </w:t>
      </w:r>
      <w:r>
        <w:rPr>
          <w:b w:val="0"/>
          <w:i w:val="0"/>
        </w:rPr>
        <w:t xml:space="preserve">Bad Debt. Amounts billed but not collected and written off as uncollectible in accordance with a consistently applied write-off policy, up to a cap of </w:t>
      </w:r>
      <w:r>
        <w:rPr>
          <w:b w:val="0"/>
          <w:i w:val="0"/>
          <w:color w:val="804000"/>
          <w:highlight w:val="yellow"/>
        </w:rPr>
        <w:t>[■ bad-debt cap, e.g., 2% of Gross Revenue per year]</w:t>
      </w:r>
      <w:r>
        <w:rPr>
          <w:b w:val="0"/>
          <w:i w:val="0"/>
        </w:rPr>
        <w:t>; recoveries of previously written-off amounts are added back to Gross Revenue when received. Because Gross Revenue is measured on an accrual basis, bad-debt treatment prevents the payment base from including cash the Operator never receives.</w:t>
      </w:r>
    </w:p>
    <w:p>
      <w:pPr>
        <w:ind w:left="504"/>
      </w:pPr>
      <w:r>
        <w:rPr>
          <w:b/>
        </w:rPr>
        <w:t xml:space="preserve">(e)  </w:t>
      </w:r>
      <w:r>
        <w:rPr>
          <w:b w:val="0"/>
          <w:i w:val="0"/>
        </w:rPr>
        <w:t>Non-operating and extraordinary items. Interest income, gains on asset sales, insurance proceeds (except business-interruption proceeds that replace excluded operating revenue), and intercompany financing receipts.</w:t>
      </w:r>
    </w:p>
    <w:p>
      <w:pPr>
        <w:pStyle w:val="Heading2"/>
        <w:spacing w:before="160" w:after="60"/>
      </w:pPr>
      <w:r>
        <w:rPr>
          <w:rFonts w:ascii="Calibri" w:hAnsi="Calibri"/>
          <w:b/>
          <w:color w:val="000000"/>
          <w:sz w:val="22"/>
        </w:rPr>
        <w:t>2.7  Capital Expenses</w:t>
      </w:r>
    </w:p>
    <w:p>
      <w:r>
        <w:rPr>
          <w:b w:val="0"/>
          <w:i w:val="0"/>
        </w:rPr>
        <w:t>“Capital Expenses” (or “CapEx”) means expenditures that are capitalized under GAAP, including network construction, fiber and electronics, capitalized labor, and capital improvements. Capital Expenses are NOT deducted in computing Gross Revenue, are not Operating Expenses, and are addressed separately in the Adjusted Operating Cash Flow definition (Section 2.13) and the capital-replacement reserve (Section 4.7). CapEx funded by grant funds is tracked as part of the Tribal Assets, not as an Operator cost recoverable against the payment base.</w:t>
      </w:r>
    </w:p>
    <w:p>
      <w:pPr>
        <w:pStyle w:val="Heading2"/>
        <w:spacing w:before="160" w:after="60"/>
      </w:pPr>
      <w:r>
        <w:rPr>
          <w:rFonts w:ascii="Calibri" w:hAnsi="Calibri"/>
          <w:b/>
          <w:color w:val="000000"/>
          <w:sz w:val="22"/>
        </w:rPr>
        <w:t>2.8  Operating Expenses</w:t>
      </w:r>
    </w:p>
    <w:p>
      <w:r>
        <w:rPr>
          <w:b w:val="0"/>
          <w:i w:val="0"/>
        </w:rPr>
        <w:t>“Operating Expenses” (or “OpEx”) means the ordinary, necessary, and documented cash costs of operating and maintaining the Network in the ordinary course, determined under GAAP and consistently applied, including network operations and maintenance, transport and backhaul, power and colocation, customer support and billing, field labor, vehicle and fuel, software and licensing, insurance premiums allocable to the Network, property taxes on the Tribal Assets, and bad-debt expense to the extent not already excluded under Section 2.6(d). Operating Expenses EXCLUDE: Capital Expenses; depreciation and amortization; income taxes; financing costs and interest; related-party charges in excess of the arm’s-length standard (Section 2.11); and corporate overhead in excess of the cap and allocation method (Section 2.12).</w:t>
      </w:r>
    </w:p>
    <w:p>
      <w:pPr>
        <w:pStyle w:val="Heading2"/>
        <w:spacing w:before="160" w:after="60"/>
      </w:pPr>
      <w:r>
        <w:rPr>
          <w:rFonts w:ascii="Calibri" w:hAnsi="Calibri"/>
          <w:b/>
          <w:color w:val="000000"/>
          <w:sz w:val="22"/>
        </w:rPr>
        <w:t>2.9  Shared Expenses</w:t>
      </w:r>
    </w:p>
    <w:p>
      <w:r>
        <w:rPr>
          <w:b w:val="0"/>
          <w:i w:val="0"/>
        </w:rPr>
        <w:t xml:space="preserve">“Shared Expenses” means Operating Expenses that benefit both the Tribal Assets and the RIVR Tech Existing Network (or other RIVR Tech operations) and therefore must be allocated rather than charged in full to the Network. Shared Expenses shall be allocated on a consistent, documented, and auditable basis that reasonably reflects relative use — for example, by proportional route-miles, subscriber count, circuit count, or capacity — with the allocation methodology disclosed in the Financial Model and fixed at </w:t>
      </w:r>
      <w:r>
        <w:rPr>
          <w:b w:val="0"/>
          <w:i w:val="0"/>
          <w:color w:val="804000"/>
          <w:highlight w:val="yellow"/>
        </w:rPr>
        <w:t>[■ agreed allocation basis and driver]</w:t>
      </w:r>
      <w:r>
        <w:rPr>
          <w:b w:val="0"/>
          <w:i w:val="0"/>
        </w:rPr>
        <w:t>. No Shared Expense may be charged more than once, whether to the Network, to another cost center, or to a federal award.</w:t>
      </w:r>
    </w:p>
    <w:p>
      <w:pPr>
        <w:pStyle w:val="Heading2"/>
        <w:spacing w:before="160" w:after="60"/>
      </w:pPr>
      <w:r>
        <w:rPr>
          <w:rFonts w:ascii="Calibri" w:hAnsi="Calibri"/>
          <w:b/>
          <w:color w:val="000000"/>
          <w:sz w:val="22"/>
        </w:rPr>
        <w:t>2.10  Related-Party Charges (Arm’s-Length Standard)</w:t>
      </w:r>
    </w:p>
    <w:p>
      <w:r>
        <w:rPr>
          <w:b w:val="0"/>
          <w:i w:val="0"/>
        </w:rPr>
        <w:t>“Related-Party Charges” means any charge, fee, price, or cost billed to the Network by RIVR Tech or any of its affiliates, members, or commonly controlled entities (including the parent electric cooperative and its subsidiaries). Related-Party Charges are recognized as Operating Expenses ONLY to the extent they do not exceed the price that would be charged in an arm’s-length transaction between unrelated parties for comparable goods or services, and only to the extent supported by contemporaneous, auditable documentation. Any Related-Party Charge in excess of the arm’s-length standard is disregarded in every payment computation. This standard applies in addition to — and does not displace — the federal cost-reasonableness and cost-allocation requirements referenced in the Grant Compliance Addendum.</w:t>
      </w:r>
    </w:p>
    <w:p>
      <w:pPr>
        <w:pStyle w:val="Heading2"/>
        <w:spacing w:before="160" w:after="60"/>
      </w:pPr>
      <w:r>
        <w:rPr>
          <w:rFonts w:ascii="Calibri" w:hAnsi="Calibri"/>
          <w:b/>
          <w:color w:val="000000"/>
          <w:sz w:val="22"/>
        </w:rPr>
        <w:t>2.11  Corporate Overhead (Cap and Allocation Method)</w:t>
      </w:r>
    </w:p>
    <w:p>
      <w:r>
        <w:rPr>
          <w:b w:val="0"/>
          <w:i w:val="0"/>
        </w:rPr>
        <w:t xml:space="preserve">“Corporate Overhead” means general and administrative costs of RIVR Tech and its affiliates not directly attributable to the Network (executive, finance, legal, human-resources, and shared back-office functions). Corporate Overhead is recognized as an Operating Expense only (i) up to a cap of </w:t>
      </w:r>
      <w:r>
        <w:rPr>
          <w:b w:val="0"/>
          <w:i w:val="0"/>
          <w:color w:val="804000"/>
          <w:highlight w:val="yellow"/>
        </w:rPr>
        <w:t>[■ overhead cap, e.g., 8% of Network Operating Expenses or 5% of Gross Revenue]</w:t>
      </w:r>
      <w:r>
        <w:rPr>
          <w:b w:val="0"/>
          <w:i w:val="0"/>
        </w:rPr>
        <w:t>, and (ii) allocated to the Network by a documented, consistently applied method (for example, a ratio of Network direct costs to total direct costs) disclosed in the Financial Model. Corporate Overhead above the cap, or not supported by the disclosed allocation, is disregarded in every payment computation.</w:t>
      </w:r>
    </w:p>
    <w:p>
      <w:pPr>
        <w:pStyle w:val="Heading2"/>
        <w:spacing w:before="160" w:after="60"/>
      </w:pPr>
      <w:r>
        <w:rPr>
          <w:rFonts w:ascii="Calibri" w:hAnsi="Calibri"/>
          <w:b/>
          <w:color w:val="000000"/>
          <w:sz w:val="22"/>
        </w:rPr>
        <w:t>2.12  Non-Tribal Customers</w:t>
      </w:r>
    </w:p>
    <w:p>
      <w:r>
        <w:rPr>
          <w:b w:val="0"/>
          <w:i w:val="0"/>
        </w:rPr>
        <w:t>“Non-Tribal Customers” means subscribers and account holders who are not enrolled members of the Tribe and who are served over the Network within or beyond the Service Territory. Revenue from Non-Tribal Customers that is derived from the Tribal Assets is INCLUDED in Gross Revenue on the same basis as revenue from Tribal members and is subject to the same program-income analysis; service to Non-Tribal Customers must remain consistent with the TBCP Award’s eligible-service-area and priority-of-service requirements.</w:t>
      </w:r>
    </w:p>
    <w:p>
      <w:pPr>
        <w:ind w:left="504"/>
      </w:pPr>
      <w:r>
        <w:rPr>
          <w:b/>
          <w:color w:val="7F007F"/>
        </w:rPr>
        <w:t xml:space="preserve">[GRANT COMPLIANCE REVIEW REQUIRED]  </w:t>
      </w:r>
      <w:r>
        <w:rPr>
          <w:i/>
          <w:color w:val="595959"/>
        </w:rPr>
        <w:t>Confirm the extent to which the Award permits service to, and revenue from, Non-Tribal Customers over grant-funded assets, and how that revenue is treated as program income.</w:t>
      </w:r>
    </w:p>
    <w:p>
      <w:pPr>
        <w:pStyle w:val="Heading2"/>
        <w:spacing w:before="160" w:after="60"/>
      </w:pPr>
      <w:r>
        <w:rPr>
          <w:rFonts w:ascii="Calibri" w:hAnsi="Calibri"/>
          <w:b/>
          <w:color w:val="000000"/>
          <w:sz w:val="22"/>
        </w:rPr>
        <w:t>2.13  Adjusted Operating Cash Flow</w:t>
      </w:r>
    </w:p>
    <w:p>
      <w:r>
        <w:rPr>
          <w:b w:val="0"/>
          <w:i w:val="0"/>
        </w:rPr>
        <w:t>“Adjusted Operating Cash Flow” (or “AOCF”) means, for any measurement period, Gross Revenue for that period LESS Operating Expenses for that period (as each is defined above, after application of the related-party and overhead limits), and further LESS a normalized allowance for the capital-replacement reserve funded under Section 4.7. AOCF EXCLUDES Capital Expenses, depreciation, amortization, interest, income taxes, and grant funds. AOCF is the base for Option C and the variable component of Option D and is computed line-by-line in the Financial Model.</w:t>
      </w:r>
    </w:p>
    <w:p>
      <w:pPr>
        <w:pStyle w:val="Heading2"/>
        <w:spacing w:before="160" w:after="60"/>
      </w:pPr>
      <w:r>
        <w:rPr>
          <w:rFonts w:ascii="Calibri" w:hAnsi="Calibri"/>
          <w:b/>
          <w:color w:val="000000"/>
          <w:sz w:val="22"/>
        </w:rPr>
        <w:t>2.14  Wholesale Revenue</w:t>
      </w:r>
    </w:p>
    <w:p>
      <w:r>
        <w:rPr>
          <w:b w:val="0"/>
          <w:i w:val="0"/>
        </w:rPr>
        <w:t>“Wholesale Revenue” means revenue from the sale of capacity, dark or lit fiber, lambda/wavelength, transport, IP transit, or other bulk services to carriers, ISPs, governments, or other resellers over the Network. Wholesale Revenue is INCLUDED in Gross Revenue; to the extent it is derived from capacity on the Tribal Assets, it is subject to the program-income analysis in Article 4.</w:t>
      </w:r>
    </w:p>
    <w:p>
      <w:pPr>
        <w:pStyle w:val="Heading2"/>
        <w:spacing w:before="160" w:after="60"/>
      </w:pPr>
      <w:r>
        <w:rPr>
          <w:rFonts w:ascii="Calibri" w:hAnsi="Calibri"/>
          <w:b/>
          <w:color w:val="000000"/>
          <w:sz w:val="22"/>
        </w:rPr>
        <w:t>2.15  Enterprise Revenue</w:t>
      </w:r>
    </w:p>
    <w:p>
      <w:r>
        <w:rPr>
          <w:b w:val="0"/>
          <w:i w:val="0"/>
        </w:rPr>
        <w:t>“Enterprise Revenue” means revenue from dedicated business, institutional, anchor-tenant, and government services (including dedicated Internet access, managed services, and private connectivity) sold over the Network. Enterprise Revenue is INCLUDED in Gross Revenue.</w:t>
      </w:r>
    </w:p>
    <w:p>
      <w:pPr>
        <w:pStyle w:val="Heading1"/>
        <w:spacing w:before="240" w:after="120"/>
      </w:pPr>
      <w:r>
        <w:rPr>
          <w:rFonts w:ascii="Calibri" w:hAnsi="Calibri"/>
          <w:b/>
          <w:color w:val="1F3864"/>
          <w:sz w:val="26"/>
        </w:rPr>
        <w:t>ARTICLE 3.  THE FIVE ALTERNATIVE PAYMENT STRUCTURES</w:t>
      </w:r>
    </w:p>
    <w:p>
      <w:pPr>
        <w:pStyle w:val="Heading2"/>
        <w:spacing w:before="160" w:after="60"/>
      </w:pPr>
      <w:r>
        <w:rPr>
          <w:rFonts w:ascii="Calibri" w:hAnsi="Calibri"/>
          <w:b/>
          <w:color w:val="000000"/>
          <w:sz w:val="22"/>
        </w:rPr>
        <w:t>3.1  Overview and Comparison</w:t>
      </w:r>
    </w:p>
    <w:p>
      <w:r>
        <w:rPr>
          <w:b w:val="0"/>
          <w:i w:val="0"/>
        </w:rPr>
        <w:t>The Parties are evaluating the five alternative structures below for the consideration payable in respect of the IRU and the operation of the Tribal Assets. Each structure uses the SAME defined terms from Article 2; they differ only in how the payment to the Tribe is computed. Each is illustrated with placeholder figures that tie to the Financial Model. The RIVR Tech recommendation is Option D (Section 3.7).</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12"/>
            <w:shd w:val="clear" w:color="auto" w:fill="1F3864"/>
            <w:vAlign w:val="center"/>
          </w:tcPr>
          <w:p>
            <w:pPr>
              <w:jc w:val="center"/>
            </w:pPr>
            <w:r>
              <w:rPr>
                <w:b/>
                <w:color w:val="FFFFFF"/>
                <w:sz w:val="16"/>
              </w:rPr>
              <w:t>Option</w:t>
            </w:r>
          </w:p>
        </w:tc>
        <w:tc>
          <w:tcPr>
            <w:tcW w:type="dxa" w:w="2232"/>
            <w:shd w:val="clear" w:color="auto" w:fill="1F3864"/>
            <w:vAlign w:val="center"/>
          </w:tcPr>
          <w:p>
            <w:pPr>
              <w:jc w:val="center"/>
            </w:pPr>
            <w:r>
              <w:rPr>
                <w:b/>
                <w:color w:val="FFFFFF"/>
                <w:sz w:val="16"/>
              </w:rPr>
              <w:t>Mechanism</w:t>
            </w:r>
          </w:p>
        </w:tc>
        <w:tc>
          <w:tcPr>
            <w:tcW w:type="dxa" w:w="1584"/>
            <w:shd w:val="clear" w:color="auto" w:fill="1F3864"/>
            <w:vAlign w:val="center"/>
          </w:tcPr>
          <w:p>
            <w:pPr>
              <w:jc w:val="center"/>
            </w:pPr>
            <w:r>
              <w:rPr>
                <w:b/>
                <w:color w:val="FFFFFF"/>
                <w:sz w:val="16"/>
              </w:rPr>
              <w:t>Tribe upside</w:t>
            </w:r>
          </w:p>
        </w:tc>
        <w:tc>
          <w:tcPr>
            <w:tcW w:type="dxa" w:w="1656"/>
            <w:shd w:val="clear" w:color="auto" w:fill="1F3864"/>
            <w:vAlign w:val="center"/>
          </w:tcPr>
          <w:p>
            <w:pPr>
              <w:jc w:val="center"/>
            </w:pPr>
            <w:r>
              <w:rPr>
                <w:b/>
                <w:color w:val="FFFFFF"/>
                <w:sz w:val="16"/>
              </w:rPr>
              <w:t>Tribe risk</w:t>
            </w:r>
          </w:p>
        </w:tc>
        <w:tc>
          <w:tcPr>
            <w:tcW w:type="dxa" w:w="1584"/>
            <w:shd w:val="clear" w:color="auto" w:fill="1F3864"/>
            <w:vAlign w:val="center"/>
          </w:tcPr>
          <w:p>
            <w:pPr>
              <w:jc w:val="center"/>
            </w:pPr>
            <w:r>
              <w:rPr>
                <w:b/>
                <w:color w:val="FFFFFF"/>
                <w:sz w:val="16"/>
              </w:rPr>
              <w:t>RIVR Tech cash-flow impact</w:t>
            </w:r>
          </w:p>
        </w:tc>
        <w:tc>
          <w:tcPr>
            <w:tcW w:type="dxa" w:w="1728"/>
            <w:shd w:val="clear" w:color="auto" w:fill="1F3864"/>
            <w:vAlign w:val="center"/>
          </w:tcPr>
          <w:p>
            <w:pPr>
              <w:jc w:val="center"/>
            </w:pPr>
            <w:r>
              <w:rPr>
                <w:b/>
                <w:color w:val="FFFFFF"/>
                <w:sz w:val="16"/>
              </w:rPr>
              <w:t>Best when</w:t>
            </w:r>
          </w:p>
        </w:tc>
      </w:tr>
      <w:tr>
        <w:tc>
          <w:tcPr>
            <w:tcW w:type="dxa" w:w="1512"/>
            <w:vAlign w:val="center"/>
          </w:tcPr>
          <w:p>
            <w:r>
              <w:rPr>
                <w:b w:val="0"/>
                <w:i w:val="0"/>
                <w:sz w:val="16"/>
              </w:rPr>
              <w:t>A — Fixed Annual Payment</w:t>
            </w:r>
          </w:p>
        </w:tc>
        <w:tc>
          <w:tcPr>
            <w:tcW w:type="dxa" w:w="2232"/>
            <w:vAlign w:val="center"/>
          </w:tcPr>
          <w:p>
            <w:r>
              <w:rPr>
                <w:b w:val="0"/>
                <w:i w:val="0"/>
                <w:sz w:val="16"/>
              </w:rPr>
              <w:t>Flat annual IRU / operating payment, fixed (with optional escalator).</w:t>
            </w:r>
          </w:p>
        </w:tc>
        <w:tc>
          <w:tcPr>
            <w:tcW w:type="dxa" w:w="1584"/>
            <w:vAlign w:val="center"/>
          </w:tcPr>
          <w:p>
            <w:r>
              <w:rPr>
                <w:b w:val="0"/>
                <w:i w:val="0"/>
                <w:sz w:val="16"/>
              </w:rPr>
              <w:t>Predictable, certain; no exposure to operating results.</w:t>
            </w:r>
          </w:p>
        </w:tc>
        <w:tc>
          <w:tcPr>
            <w:tcW w:type="dxa" w:w="1656"/>
            <w:vAlign w:val="center"/>
          </w:tcPr>
          <w:p>
            <w:r>
              <w:rPr>
                <w:b w:val="0"/>
                <w:i w:val="0"/>
                <w:sz w:val="16"/>
              </w:rPr>
              <w:t>No participation in upside if take rates or ARPU exceed plan; fixed amount can lag inflation.</w:t>
            </w:r>
          </w:p>
        </w:tc>
        <w:tc>
          <w:tcPr>
            <w:tcW w:type="dxa" w:w="1584"/>
            <w:vAlign w:val="center"/>
          </w:tcPr>
          <w:p>
            <w:r>
              <w:rPr>
                <w:b w:val="0"/>
                <w:i w:val="0"/>
                <w:sz w:val="16"/>
              </w:rPr>
              <w:t>Highest early fixed obligation; simplest to model and finance.</w:t>
            </w:r>
          </w:p>
        </w:tc>
        <w:tc>
          <w:tcPr>
            <w:tcW w:type="dxa" w:w="1728"/>
            <w:vAlign w:val="center"/>
          </w:tcPr>
          <w:p>
            <w:r>
              <w:rPr>
                <w:b w:val="0"/>
                <w:i w:val="0"/>
                <w:sz w:val="16"/>
              </w:rPr>
              <w:t>The Tribe values certainty and simplicity over upside.</w:t>
            </w:r>
          </w:p>
        </w:tc>
      </w:tr>
      <w:tr>
        <w:tc>
          <w:tcPr>
            <w:tcW w:type="dxa" w:w="1512"/>
            <w:shd w:val="clear" w:color="auto" w:fill="F2F2F2"/>
            <w:vAlign w:val="center"/>
          </w:tcPr>
          <w:p>
            <w:r>
              <w:rPr>
                <w:b w:val="0"/>
                <w:i w:val="0"/>
                <w:sz w:val="16"/>
              </w:rPr>
              <w:t>B — % of Gross Revenue</w:t>
            </w:r>
          </w:p>
        </w:tc>
        <w:tc>
          <w:tcPr>
            <w:tcW w:type="dxa" w:w="2232"/>
            <w:shd w:val="clear" w:color="auto" w:fill="F2F2F2"/>
            <w:vAlign w:val="center"/>
          </w:tcPr>
          <w:p>
            <w:r>
              <w:rPr>
                <w:b w:val="0"/>
                <w:i w:val="0"/>
                <w:sz w:val="16"/>
              </w:rPr>
              <w:t>5% (placeholder) of Gross Revenue, top-line, no expense deduction.</w:t>
            </w:r>
          </w:p>
        </w:tc>
        <w:tc>
          <w:tcPr>
            <w:tcW w:type="dxa" w:w="1584"/>
            <w:shd w:val="clear" w:color="auto" w:fill="F2F2F2"/>
            <w:vAlign w:val="center"/>
          </w:tcPr>
          <w:p>
            <w:r>
              <w:rPr>
                <w:b w:val="0"/>
                <w:i w:val="0"/>
                <w:sz w:val="16"/>
              </w:rPr>
              <w:t>Direct participation in top-line growth; hard to manipulate; simple to audit.</w:t>
            </w:r>
          </w:p>
        </w:tc>
        <w:tc>
          <w:tcPr>
            <w:tcW w:type="dxa" w:w="1656"/>
            <w:shd w:val="clear" w:color="auto" w:fill="F2F2F2"/>
            <w:vAlign w:val="center"/>
          </w:tcPr>
          <w:p>
            <w:r>
              <w:rPr>
                <w:b w:val="0"/>
                <w:i w:val="0"/>
                <w:sz w:val="16"/>
              </w:rPr>
              <w:t>Paid even in loss years; indifferent to Operator cost discipline; can strain early cash flow.</w:t>
            </w:r>
          </w:p>
        </w:tc>
        <w:tc>
          <w:tcPr>
            <w:tcW w:type="dxa" w:w="1584"/>
            <w:shd w:val="clear" w:color="auto" w:fill="F2F2F2"/>
            <w:vAlign w:val="center"/>
          </w:tcPr>
          <w:p>
            <w:r>
              <w:rPr>
                <w:b w:val="0"/>
                <w:i w:val="0"/>
                <w:sz w:val="16"/>
              </w:rPr>
              <w:t>Scales with revenue regardless of margin; pressures thin early-year margins.</w:t>
            </w:r>
          </w:p>
        </w:tc>
        <w:tc>
          <w:tcPr>
            <w:tcW w:type="dxa" w:w="1728"/>
            <w:shd w:val="clear" w:color="auto" w:fill="F2F2F2"/>
            <w:vAlign w:val="center"/>
          </w:tcPr>
          <w:p>
            <w:r>
              <w:rPr>
                <w:b w:val="0"/>
                <w:i w:val="0"/>
                <w:sz w:val="16"/>
              </w:rPr>
              <w:t>The Tribe wants growth participation and a simple, tamper-resistant base.</w:t>
            </w:r>
          </w:p>
        </w:tc>
      </w:tr>
      <w:tr>
        <w:tc>
          <w:tcPr>
            <w:tcW w:type="dxa" w:w="1512"/>
            <w:vAlign w:val="center"/>
          </w:tcPr>
          <w:p>
            <w:r>
              <w:rPr>
                <w:b w:val="0"/>
                <w:i w:val="0"/>
                <w:sz w:val="16"/>
              </w:rPr>
              <w:t>C — % of Adjusted Operating Cash Flow</w:t>
            </w:r>
          </w:p>
        </w:tc>
        <w:tc>
          <w:tcPr>
            <w:tcW w:type="dxa" w:w="2232"/>
            <w:vAlign w:val="center"/>
          </w:tcPr>
          <w:p>
            <w:r>
              <w:rPr>
                <w:b w:val="0"/>
                <w:i w:val="0"/>
                <w:sz w:val="16"/>
              </w:rPr>
              <w:t>20% (placeholder) of AOCF (Gross Revenue less OpEx and reserve).</w:t>
            </w:r>
          </w:p>
        </w:tc>
        <w:tc>
          <w:tcPr>
            <w:tcW w:type="dxa" w:w="1584"/>
            <w:vAlign w:val="center"/>
          </w:tcPr>
          <w:p>
            <w:r>
              <w:rPr>
                <w:b w:val="0"/>
                <w:i w:val="0"/>
                <w:sz w:val="16"/>
              </w:rPr>
              <w:t>Aligns with true profitability; shares in margin improvement.</w:t>
            </w:r>
          </w:p>
        </w:tc>
        <w:tc>
          <w:tcPr>
            <w:tcW w:type="dxa" w:w="1656"/>
            <w:vAlign w:val="center"/>
          </w:tcPr>
          <w:p>
            <w:r>
              <w:rPr>
                <w:b w:val="0"/>
                <w:i w:val="0"/>
                <w:sz w:val="16"/>
              </w:rPr>
              <w:t>Exposed to expense inflation and allocation/overhead judgment; can be zero in early years.</w:t>
            </w:r>
          </w:p>
        </w:tc>
        <w:tc>
          <w:tcPr>
            <w:tcW w:type="dxa" w:w="1584"/>
            <w:vAlign w:val="center"/>
          </w:tcPr>
          <w:p>
            <w:r>
              <w:rPr>
                <w:b w:val="0"/>
                <w:i w:val="0"/>
                <w:sz w:val="16"/>
              </w:rPr>
              <w:t>Self-adjusting to affordability; lowest strain when margins are thin.</w:t>
            </w:r>
          </w:p>
        </w:tc>
        <w:tc>
          <w:tcPr>
            <w:tcW w:type="dxa" w:w="1728"/>
            <w:vAlign w:val="center"/>
          </w:tcPr>
          <w:p>
            <w:r>
              <w:rPr>
                <w:b w:val="0"/>
                <w:i w:val="0"/>
                <w:sz w:val="16"/>
              </w:rPr>
              <w:t>The Tribe accepts expense-side complexity in exchange for margin alignment.</w:t>
            </w:r>
          </w:p>
        </w:tc>
      </w:tr>
      <w:tr>
        <w:tc>
          <w:tcPr>
            <w:tcW w:type="dxa" w:w="1512"/>
            <w:shd w:val="clear" w:color="auto" w:fill="F2F2F2"/>
            <w:vAlign w:val="center"/>
          </w:tcPr>
          <w:p>
            <w:r>
              <w:rPr>
                <w:b w:val="0"/>
                <w:i w:val="0"/>
                <w:sz w:val="16"/>
              </w:rPr>
              <w:t>D — Hybrid (Fixed Base + Revenue Share)</w:t>
            </w:r>
          </w:p>
        </w:tc>
        <w:tc>
          <w:tcPr>
            <w:tcW w:type="dxa" w:w="2232"/>
            <w:shd w:val="clear" w:color="auto" w:fill="F2F2F2"/>
            <w:vAlign w:val="center"/>
          </w:tcPr>
          <w:p>
            <w:r>
              <w:rPr>
                <w:b w:val="0"/>
                <w:i w:val="0"/>
                <w:sz w:val="16"/>
              </w:rPr>
              <w:t xml:space="preserve">Fixed base </w:t>
            </w:r>
            <w:r>
              <w:rPr>
                <w:b w:val="0"/>
                <w:i w:val="0"/>
                <w:color w:val="804000"/>
                <w:sz w:val="16"/>
                <w:highlight w:val="yellow"/>
              </w:rPr>
              <w:t>[■ base amount]</w:t>
            </w:r>
            <w:r>
              <w:rPr>
                <w:b w:val="0"/>
                <w:i w:val="0"/>
                <w:sz w:val="16"/>
              </w:rPr>
              <w:t xml:space="preserve"> PLUS 5% (placeholder) of Gross Revenue above a </w:t>
            </w:r>
            <w:r>
              <w:rPr>
                <w:b w:val="0"/>
                <w:i w:val="0"/>
                <w:color w:val="804000"/>
                <w:sz w:val="16"/>
                <w:highlight w:val="yellow"/>
              </w:rPr>
              <w:t>[■ threshold]</w:t>
            </w:r>
            <w:r>
              <w:rPr>
                <w:b w:val="0"/>
                <w:i w:val="0"/>
                <w:sz w:val="16"/>
              </w:rPr>
              <w:t>.</w:t>
            </w:r>
          </w:p>
        </w:tc>
        <w:tc>
          <w:tcPr>
            <w:tcW w:type="dxa" w:w="1584"/>
            <w:shd w:val="clear" w:color="auto" w:fill="F2F2F2"/>
            <w:vAlign w:val="center"/>
          </w:tcPr>
          <w:p>
            <w:r>
              <w:rPr>
                <w:b w:val="0"/>
                <w:i w:val="0"/>
                <w:sz w:val="16"/>
              </w:rPr>
              <w:t>Floor of certainty AND a share of upside; balances both objectives.</w:t>
            </w:r>
          </w:p>
        </w:tc>
        <w:tc>
          <w:tcPr>
            <w:tcW w:type="dxa" w:w="1656"/>
            <w:shd w:val="clear" w:color="auto" w:fill="F2F2F2"/>
            <w:vAlign w:val="center"/>
          </w:tcPr>
          <w:p>
            <w:r>
              <w:rPr>
                <w:b w:val="0"/>
                <w:i w:val="0"/>
                <w:sz w:val="16"/>
              </w:rPr>
              <w:t>More moving parts; base still owed in weak years, though set conservatively.</w:t>
            </w:r>
          </w:p>
        </w:tc>
        <w:tc>
          <w:tcPr>
            <w:tcW w:type="dxa" w:w="1584"/>
            <w:shd w:val="clear" w:color="auto" w:fill="F2F2F2"/>
            <w:vAlign w:val="center"/>
          </w:tcPr>
          <w:p>
            <w:r>
              <w:rPr>
                <w:b w:val="0"/>
                <w:i w:val="0"/>
                <w:sz w:val="16"/>
              </w:rPr>
              <w:t>Manageable fixed floor plus a variable layer that grows with success.</w:t>
            </w:r>
          </w:p>
        </w:tc>
        <w:tc>
          <w:tcPr>
            <w:tcW w:type="dxa" w:w="1728"/>
            <w:shd w:val="clear" w:color="auto" w:fill="F2F2F2"/>
            <w:vAlign w:val="center"/>
          </w:tcPr>
          <w:p>
            <w:r>
              <w:rPr>
                <w:b w:val="0"/>
                <w:i w:val="0"/>
                <w:sz w:val="16"/>
              </w:rPr>
              <w:t>The Tribe wants a guaranteed minimum and meaningful upside — the recommended balance.</w:t>
            </w:r>
          </w:p>
        </w:tc>
      </w:tr>
      <w:tr>
        <w:tc>
          <w:tcPr>
            <w:tcW w:type="dxa" w:w="1512"/>
            <w:vAlign w:val="center"/>
          </w:tcPr>
          <w:p>
            <w:r>
              <w:rPr>
                <w:b w:val="0"/>
                <w:i w:val="0"/>
                <w:sz w:val="16"/>
              </w:rPr>
              <w:t>E — Payment Holiday then Stepped Payments</w:t>
            </w:r>
          </w:p>
        </w:tc>
        <w:tc>
          <w:tcPr>
            <w:tcW w:type="dxa" w:w="2232"/>
            <w:vAlign w:val="center"/>
          </w:tcPr>
          <w:p>
            <w:r>
              <w:rPr>
                <w:b w:val="0"/>
                <w:i w:val="0"/>
                <w:sz w:val="16"/>
              </w:rPr>
              <w:t xml:space="preserve">No / nominal payment for an initial </w:t>
            </w:r>
            <w:r>
              <w:rPr>
                <w:b w:val="0"/>
                <w:i w:val="0"/>
                <w:color w:val="804000"/>
                <w:sz w:val="16"/>
                <w:highlight w:val="yellow"/>
              </w:rPr>
              <w:t>[■ holiday period, e.g., 24–36 months]</w:t>
            </w:r>
            <w:r>
              <w:rPr>
                <w:b w:val="0"/>
                <w:i w:val="0"/>
                <w:sz w:val="16"/>
              </w:rPr>
              <w:t>, then payments that step up on a fixed schedule.</w:t>
            </w:r>
          </w:p>
        </w:tc>
        <w:tc>
          <w:tcPr>
            <w:tcW w:type="dxa" w:w="1584"/>
            <w:vAlign w:val="center"/>
          </w:tcPr>
          <w:p>
            <w:r>
              <w:rPr>
                <w:b w:val="0"/>
                <w:i w:val="0"/>
                <w:sz w:val="16"/>
              </w:rPr>
              <w:t>Matches payments to the network’s revenue ramp; larger later payments possible.</w:t>
            </w:r>
          </w:p>
        </w:tc>
        <w:tc>
          <w:tcPr>
            <w:tcW w:type="dxa" w:w="1656"/>
            <w:vAlign w:val="center"/>
          </w:tcPr>
          <w:p>
            <w:r>
              <w:rPr>
                <w:b w:val="0"/>
                <w:i w:val="0"/>
                <w:sz w:val="16"/>
              </w:rPr>
              <w:t>Little or no early cash; back-loaded; depends on the ramp materializing.</w:t>
            </w:r>
          </w:p>
        </w:tc>
        <w:tc>
          <w:tcPr>
            <w:tcW w:type="dxa" w:w="1584"/>
            <w:vAlign w:val="center"/>
          </w:tcPr>
          <w:p>
            <w:r>
              <w:rPr>
                <w:b w:val="0"/>
                <w:i w:val="0"/>
                <w:sz w:val="16"/>
              </w:rPr>
              <w:t>Protects fragile construction- and ramp-phase cash flow; back-loads the obligation.</w:t>
            </w:r>
          </w:p>
        </w:tc>
        <w:tc>
          <w:tcPr>
            <w:tcW w:type="dxa" w:w="1728"/>
            <w:vAlign w:val="center"/>
          </w:tcPr>
          <w:p>
            <w:r>
              <w:rPr>
                <w:b w:val="0"/>
                <w:i w:val="0"/>
                <w:sz w:val="16"/>
              </w:rPr>
              <w:t>The build has a long ramp and early-year cash must be preserved.</w:t>
            </w:r>
          </w:p>
        </w:tc>
      </w:tr>
    </w:tbl>
    <w:p>
      <w:pPr>
        <w:ind w:left="504"/>
      </w:pPr>
      <w:r>
        <w:rPr>
          <w:b/>
          <w:color w:val="C00000"/>
        </w:rPr>
        <w:t xml:space="preserve">[BUSINESS DECISION REQUIRED]  </w:t>
      </w:r>
      <w:r>
        <w:rPr>
          <w:i/>
          <w:color w:val="595959"/>
        </w:rPr>
        <w:t>The percentages, base, threshold, escalators, and holiday period shown are placeholders. Selection among A–E and calibration of each figure are business decisions to be finalized with the Financial Model.</w:t>
      </w:r>
    </w:p>
    <w:p>
      <w:pPr>
        <w:pStyle w:val="Heading2"/>
        <w:spacing w:before="160" w:after="60"/>
      </w:pPr>
      <w:r>
        <w:rPr>
          <w:rFonts w:ascii="Calibri" w:hAnsi="Calibri"/>
          <w:b/>
          <w:color w:val="000000"/>
          <w:sz w:val="22"/>
        </w:rPr>
        <w:t>3.2  Shared Illustrative Assumptions</w:t>
      </w:r>
    </w:p>
    <w:p>
      <w:r>
        <w:rPr>
          <w:b w:val="0"/>
          <w:i w:val="0"/>
        </w:rPr>
        <w:t>The worked examples in Sections 3.3–3.6 use the following placeholder inputs, all of which are carried in, and must reconcile to, the Financial Model:</w:t>
      </w:r>
    </w:p>
    <w:tbl>
      <w:tblPr>
        <w:tblStyle w:val="TableGrid"/>
        <w:tblW w:type="auto" w:w="0"/>
        <w:jc w:val="center"/>
        <w:tblLook w:firstColumn="1" w:firstRow="1" w:lastColumn="0" w:lastRow="0" w:noHBand="0" w:noVBand="1" w:val="04A0"/>
      </w:tblPr>
      <w:tblGrid>
        <w:gridCol w:w="4680"/>
        <w:gridCol w:w="4680"/>
      </w:tblGrid>
      <w:tr>
        <w:tc>
          <w:tcPr>
            <w:tcW w:type="dxa" w:w="4896"/>
            <w:shd w:val="clear" w:color="auto" w:fill="1F3864"/>
            <w:vAlign w:val="center"/>
          </w:tcPr>
          <w:p>
            <w:pPr>
              <w:jc w:val="center"/>
            </w:pPr>
            <w:r>
              <w:rPr>
                <w:b/>
                <w:color w:val="FFFFFF"/>
                <w:sz w:val="18"/>
              </w:rPr>
              <w:t>Assumption</w:t>
            </w:r>
          </w:p>
        </w:tc>
        <w:tc>
          <w:tcPr>
            <w:tcW w:type="dxa" w:w="4464"/>
            <w:shd w:val="clear" w:color="auto" w:fill="1F3864"/>
            <w:vAlign w:val="center"/>
          </w:tcPr>
          <w:p>
            <w:pPr>
              <w:jc w:val="center"/>
            </w:pPr>
            <w:r>
              <w:rPr>
                <w:b/>
                <w:color w:val="FFFFFF"/>
                <w:sz w:val="18"/>
              </w:rPr>
              <w:t>Illustrative value</w:t>
            </w:r>
          </w:p>
        </w:tc>
      </w:tr>
      <w:tr>
        <w:tc>
          <w:tcPr>
            <w:tcW w:type="dxa" w:w="4896"/>
            <w:vAlign w:val="center"/>
          </w:tcPr>
          <w:p>
            <w:r>
              <w:rPr>
                <w:b w:val="0"/>
                <w:i w:val="0"/>
                <w:sz w:val="18"/>
              </w:rPr>
              <w:t>Grant award (capital source — NOT revenue)</w:t>
            </w:r>
          </w:p>
        </w:tc>
        <w:tc>
          <w:tcPr>
            <w:tcW w:type="dxa" w:w="4464"/>
            <w:vAlign w:val="center"/>
          </w:tcPr>
          <w:p>
            <w:r>
              <w:rPr>
                <w:b w:val="0"/>
                <w:i w:val="0"/>
                <w:sz w:val="18"/>
              </w:rPr>
              <w:t xml:space="preserve">$25,000,000  </w:t>
            </w:r>
            <w:r>
              <w:rPr>
                <w:b w:val="0"/>
                <w:i w:val="0"/>
                <w:color w:val="804000"/>
                <w:sz w:val="18"/>
                <w:highlight w:val="yellow"/>
              </w:rPr>
              <w:t>[■ placeholder]</w:t>
            </w:r>
          </w:p>
        </w:tc>
      </w:tr>
      <w:tr>
        <w:tc>
          <w:tcPr>
            <w:tcW w:type="dxa" w:w="4896"/>
            <w:shd w:val="clear" w:color="auto" w:fill="F2F2F2"/>
            <w:vAlign w:val="center"/>
          </w:tcPr>
          <w:p>
            <w:r>
              <w:rPr>
                <w:b w:val="0"/>
                <w:i w:val="0"/>
                <w:sz w:val="18"/>
              </w:rPr>
              <w:t>Homes / passings</w:t>
            </w:r>
          </w:p>
        </w:tc>
        <w:tc>
          <w:tcPr>
            <w:tcW w:type="dxa" w:w="4464"/>
            <w:shd w:val="clear" w:color="auto" w:fill="F2F2F2"/>
            <w:vAlign w:val="center"/>
          </w:tcPr>
          <w:p>
            <w:r>
              <w:rPr>
                <w:b w:val="0"/>
                <w:i w:val="0"/>
                <w:sz w:val="18"/>
              </w:rPr>
              <w:t xml:space="preserve">8,500  </w:t>
            </w:r>
            <w:r>
              <w:rPr>
                <w:b w:val="0"/>
                <w:i w:val="0"/>
                <w:color w:val="804000"/>
                <w:sz w:val="18"/>
                <w:highlight w:val="yellow"/>
              </w:rPr>
              <w:t>[■ placeholder]</w:t>
            </w:r>
          </w:p>
        </w:tc>
      </w:tr>
      <w:tr>
        <w:tc>
          <w:tcPr>
            <w:tcW w:type="dxa" w:w="4896"/>
            <w:vAlign w:val="center"/>
          </w:tcPr>
          <w:p>
            <w:r>
              <w:rPr>
                <w:b w:val="0"/>
                <w:i w:val="0"/>
                <w:sz w:val="18"/>
              </w:rPr>
              <w:t>Terminal take rate</w:t>
            </w:r>
          </w:p>
        </w:tc>
        <w:tc>
          <w:tcPr>
            <w:tcW w:type="dxa" w:w="4464"/>
            <w:vAlign w:val="center"/>
          </w:tcPr>
          <w:p>
            <w:r>
              <w:rPr>
                <w:b w:val="0"/>
                <w:i w:val="0"/>
                <w:sz w:val="18"/>
              </w:rPr>
              <w:t xml:space="preserve">45%  </w:t>
            </w:r>
            <w:r>
              <w:rPr>
                <w:b w:val="0"/>
                <w:i w:val="0"/>
                <w:color w:val="804000"/>
                <w:sz w:val="18"/>
                <w:highlight w:val="yellow"/>
              </w:rPr>
              <w:t>[■ placeholder]</w:t>
            </w:r>
          </w:p>
        </w:tc>
      </w:tr>
      <w:tr>
        <w:tc>
          <w:tcPr>
            <w:tcW w:type="dxa" w:w="4896"/>
            <w:shd w:val="clear" w:color="auto" w:fill="F2F2F2"/>
            <w:vAlign w:val="center"/>
          </w:tcPr>
          <w:p>
            <w:r>
              <w:rPr>
                <w:b w:val="0"/>
                <w:i w:val="0"/>
                <w:sz w:val="18"/>
              </w:rPr>
              <w:t>Residential ARPU (monthly)</w:t>
            </w:r>
          </w:p>
        </w:tc>
        <w:tc>
          <w:tcPr>
            <w:tcW w:type="dxa" w:w="4464"/>
            <w:shd w:val="clear" w:color="auto" w:fill="F2F2F2"/>
            <w:vAlign w:val="center"/>
          </w:tcPr>
          <w:p>
            <w:r>
              <w:rPr>
                <w:b w:val="0"/>
                <w:i w:val="0"/>
                <w:sz w:val="18"/>
              </w:rPr>
              <w:t xml:space="preserve">$75  </w:t>
            </w:r>
            <w:r>
              <w:rPr>
                <w:b w:val="0"/>
                <w:i w:val="0"/>
                <w:color w:val="804000"/>
                <w:sz w:val="18"/>
                <w:highlight w:val="yellow"/>
              </w:rPr>
              <w:t>[■ placeholder]</w:t>
            </w:r>
          </w:p>
        </w:tc>
      </w:tr>
      <w:tr>
        <w:tc>
          <w:tcPr>
            <w:tcW w:type="dxa" w:w="4896"/>
            <w:vAlign w:val="center"/>
          </w:tcPr>
          <w:p>
            <w:r>
              <w:rPr>
                <w:b w:val="0"/>
                <w:i w:val="0"/>
                <w:sz w:val="18"/>
              </w:rPr>
              <w:t>Business ARPU (monthly)</w:t>
            </w:r>
          </w:p>
        </w:tc>
        <w:tc>
          <w:tcPr>
            <w:tcW w:type="dxa" w:w="4464"/>
            <w:vAlign w:val="center"/>
          </w:tcPr>
          <w:p>
            <w:r>
              <w:rPr>
                <w:b w:val="0"/>
                <w:i w:val="0"/>
                <w:sz w:val="18"/>
              </w:rPr>
              <w:t xml:space="preserve">$250  </w:t>
            </w:r>
            <w:r>
              <w:rPr>
                <w:b w:val="0"/>
                <w:i w:val="0"/>
                <w:color w:val="804000"/>
                <w:sz w:val="18"/>
                <w:highlight w:val="yellow"/>
              </w:rPr>
              <w:t>[■ placeholder]</w:t>
            </w:r>
          </w:p>
        </w:tc>
      </w:tr>
      <w:tr>
        <w:tc>
          <w:tcPr>
            <w:tcW w:type="dxa" w:w="4896"/>
            <w:shd w:val="clear" w:color="auto" w:fill="F2F2F2"/>
            <w:vAlign w:val="center"/>
          </w:tcPr>
          <w:p>
            <w:r>
              <w:rPr>
                <w:b w:val="0"/>
                <w:i w:val="0"/>
                <w:sz w:val="18"/>
              </w:rPr>
              <w:t>Stabilized-year Gross Revenue (derived)</w:t>
            </w:r>
          </w:p>
        </w:tc>
        <w:tc>
          <w:tcPr>
            <w:tcW w:type="dxa" w:w="4464"/>
            <w:shd w:val="clear" w:color="auto" w:fill="F2F2F2"/>
            <w:vAlign w:val="center"/>
          </w:tcPr>
          <w:p>
            <w:r>
              <w:rPr>
                <w:b w:val="0"/>
                <w:i w:val="0"/>
                <w:color w:val="804000"/>
                <w:sz w:val="18"/>
                <w:highlight w:val="yellow"/>
              </w:rPr>
              <w:t>[■ stabilized-year Gross Revenue — from 04_Financial_Model]</w:t>
            </w:r>
          </w:p>
        </w:tc>
      </w:tr>
      <w:tr>
        <w:tc>
          <w:tcPr>
            <w:tcW w:type="dxa" w:w="4896"/>
            <w:vAlign w:val="center"/>
          </w:tcPr>
          <w:p>
            <w:r>
              <w:rPr>
                <w:b w:val="0"/>
                <w:i w:val="0"/>
                <w:sz w:val="18"/>
              </w:rPr>
              <w:t>Stabilized-year Operating Expenses (derived)</w:t>
            </w:r>
          </w:p>
        </w:tc>
        <w:tc>
          <w:tcPr>
            <w:tcW w:type="dxa" w:w="4464"/>
            <w:vAlign w:val="center"/>
          </w:tcPr>
          <w:p>
            <w:r>
              <w:rPr>
                <w:b w:val="0"/>
                <w:i w:val="0"/>
                <w:color w:val="804000"/>
                <w:sz w:val="18"/>
                <w:highlight w:val="yellow"/>
              </w:rPr>
              <w:t>[■ stabilized-year OpEx — from 04_Financial_Model]</w:t>
            </w:r>
          </w:p>
        </w:tc>
      </w:tr>
      <w:tr>
        <w:tc>
          <w:tcPr>
            <w:tcW w:type="dxa" w:w="4896"/>
            <w:shd w:val="clear" w:color="auto" w:fill="F2F2F2"/>
            <w:vAlign w:val="center"/>
          </w:tcPr>
          <w:p>
            <w:r>
              <w:rPr>
                <w:b w:val="0"/>
                <w:i w:val="0"/>
                <w:sz w:val="18"/>
              </w:rPr>
              <w:t>Stabilized-year AOCF (derived)</w:t>
            </w:r>
          </w:p>
        </w:tc>
        <w:tc>
          <w:tcPr>
            <w:tcW w:type="dxa" w:w="4464"/>
            <w:shd w:val="clear" w:color="auto" w:fill="F2F2F2"/>
            <w:vAlign w:val="center"/>
          </w:tcPr>
          <w:p>
            <w:r>
              <w:rPr>
                <w:b w:val="0"/>
                <w:i w:val="0"/>
                <w:color w:val="804000"/>
                <w:sz w:val="18"/>
                <w:highlight w:val="yellow"/>
              </w:rPr>
              <w:t>[■ stabilized-year AOCF — from 04_Financial_Model]</w:t>
            </w:r>
          </w:p>
        </w:tc>
      </w:tr>
    </w:tbl>
    <w:p>
      <w:pPr>
        <w:ind w:left="504"/>
      </w:pPr>
      <w:r>
        <w:rPr>
          <w:b/>
          <w:color w:val="007000"/>
        </w:rPr>
        <w:t xml:space="preserve">[TECHNICAL INFORMATION REQUIRED]  </w:t>
      </w:r>
      <w:r>
        <w:rPr>
          <w:i/>
          <w:color w:val="595959"/>
        </w:rPr>
        <w:t>Confirm homes passed, take-rate ramp, and residential/business mix against the engineering design and market study before the Financial Model is finalized.</w:t>
      </w:r>
    </w:p>
    <w:p>
      <w:pPr>
        <w:pStyle w:val="Heading2"/>
        <w:spacing w:before="160" w:after="60"/>
      </w:pPr>
      <w:r>
        <w:rPr>
          <w:rFonts w:ascii="Calibri" w:hAnsi="Calibri"/>
          <w:b/>
          <w:color w:val="000000"/>
          <w:sz w:val="22"/>
        </w:rPr>
        <w:t>3.3  Option A — Fixed Annual IRU / Operating Payment</w:t>
      </w:r>
    </w:p>
    <w:p>
      <w:r>
        <w:rPr>
          <w:b w:val="0"/>
          <w:i w:val="0"/>
        </w:rPr>
        <w:t xml:space="preserve">Mechanism. RIVR Tech pays the Tribe a fixed annual amount of </w:t>
      </w:r>
      <w:r>
        <w:rPr>
          <w:b w:val="0"/>
          <w:i w:val="0"/>
          <w:color w:val="804000"/>
          <w:highlight w:val="yellow"/>
        </w:rPr>
        <w:t>[■ fixed annual payment, e.g., $150,000–$400,000/yr]</w:t>
      </w:r>
      <w:r>
        <w:rPr>
          <w:b w:val="0"/>
          <w:i w:val="0"/>
        </w:rPr>
        <w:t xml:space="preserve"> in respect of the IRU and the operation of the Tribal Assets, payable in equal </w:t>
      </w:r>
      <w:r>
        <w:rPr>
          <w:b w:val="0"/>
          <w:i w:val="0"/>
          <w:color w:val="804000"/>
          <w:highlight w:val="yellow"/>
        </w:rPr>
        <w:t>[■ monthly or quarterly]</w:t>
      </w:r>
      <w:r>
        <w:rPr>
          <w:b w:val="0"/>
          <w:i w:val="0"/>
        </w:rPr>
        <w:t xml:space="preserve"> installments, with an annual escalator of </w:t>
      </w:r>
      <w:r>
        <w:rPr>
          <w:b w:val="0"/>
          <w:i w:val="0"/>
          <w:color w:val="804000"/>
          <w:highlight w:val="yellow"/>
        </w:rPr>
        <w:t>[■ escalator, e.g., CPI or fixed 2–3%]</w:t>
      </w:r>
      <w:r>
        <w:rPr>
          <w:b w:val="0"/>
          <w:i w:val="0"/>
        </w:rPr>
        <w:t>. Gross Revenue, expenses, and AOCF do not affect the amount; the defined terms in Article 2 nonetheless govern the audit, records, and program-income analysis.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296"/>
            <w:shd w:val="clear" w:color="auto" w:fill="1F3864"/>
            <w:vAlign w:val="center"/>
          </w:tcPr>
          <w:p>
            <w:pPr>
              <w:jc w:val="center"/>
            </w:pPr>
            <w:r>
              <w:rPr>
                <w:b/>
                <w:color w:val="FFFFFF"/>
                <w:sz w:val="18"/>
              </w:rPr>
              <w:t>Year</w:t>
            </w:r>
          </w:p>
        </w:tc>
        <w:tc>
          <w:tcPr>
            <w:tcW w:type="dxa" w:w="2736"/>
            <w:shd w:val="clear" w:color="auto" w:fill="1F3864"/>
            <w:vAlign w:val="center"/>
          </w:tcPr>
          <w:p>
            <w:pPr>
              <w:jc w:val="center"/>
            </w:pPr>
            <w:r>
              <w:rPr>
                <w:b/>
                <w:color w:val="FFFFFF"/>
                <w:sz w:val="18"/>
              </w:rPr>
              <w:t>Fixed annual payment</w:t>
            </w:r>
          </w:p>
        </w:tc>
        <w:tc>
          <w:tcPr>
            <w:tcW w:type="dxa" w:w="2448"/>
            <w:shd w:val="clear" w:color="auto" w:fill="1F3864"/>
            <w:vAlign w:val="center"/>
          </w:tcPr>
          <w:p>
            <w:pPr>
              <w:jc w:val="center"/>
            </w:pPr>
            <w:r>
              <w:rPr>
                <w:b/>
                <w:color w:val="FFFFFF"/>
                <w:sz w:val="18"/>
              </w:rPr>
              <w:t>Escalator applied</w:t>
            </w:r>
          </w:p>
        </w:tc>
        <w:tc>
          <w:tcPr>
            <w:tcW w:type="dxa" w:w="2880"/>
            <w:shd w:val="clear" w:color="auto" w:fill="1F3864"/>
            <w:vAlign w:val="center"/>
          </w:tcPr>
          <w:p>
            <w:pPr>
              <w:jc w:val="center"/>
            </w:pPr>
            <w:r>
              <w:rPr>
                <w:b/>
                <w:color w:val="FFFFFF"/>
                <w:sz w:val="18"/>
              </w:rPr>
              <w:t>Payment to Tribe</w:t>
            </w:r>
          </w:p>
        </w:tc>
      </w:tr>
      <w:tr>
        <w:tc>
          <w:tcPr>
            <w:tcW w:type="dxa" w:w="1296"/>
            <w:vAlign w:val="center"/>
          </w:tcPr>
          <w:p>
            <w:r>
              <w:rPr>
                <w:b w:val="0"/>
                <w:i w:val="0"/>
                <w:sz w:val="18"/>
              </w:rPr>
              <w:t>1</w:t>
            </w:r>
          </w:p>
        </w:tc>
        <w:tc>
          <w:tcPr>
            <w:tcW w:type="dxa" w:w="2736"/>
            <w:vAlign w:val="center"/>
          </w:tcPr>
          <w:p>
            <w:r>
              <w:rPr>
                <w:b w:val="0"/>
                <w:i w:val="0"/>
                <w:color w:val="804000"/>
                <w:sz w:val="18"/>
                <w:highlight w:val="yellow"/>
              </w:rPr>
              <w:t>[■ base amount]</w:t>
            </w:r>
          </w:p>
        </w:tc>
        <w:tc>
          <w:tcPr>
            <w:tcW w:type="dxa" w:w="2448"/>
            <w:vAlign w:val="center"/>
          </w:tcPr>
          <w:p>
            <w:r>
              <w:rPr>
                <w:b w:val="0"/>
                <w:i w:val="0"/>
                <w:sz w:val="18"/>
              </w:rPr>
              <w:t>—</w:t>
            </w:r>
          </w:p>
        </w:tc>
        <w:tc>
          <w:tcPr>
            <w:tcW w:type="dxa" w:w="2880"/>
            <w:vAlign w:val="center"/>
          </w:tcPr>
          <w:p>
            <w:r>
              <w:rPr>
                <w:b w:val="0"/>
                <w:i w:val="0"/>
                <w:color w:val="804000"/>
                <w:sz w:val="18"/>
                <w:highlight w:val="yellow"/>
              </w:rPr>
              <w:t>[■ base amount]</w:t>
            </w:r>
          </w:p>
        </w:tc>
      </w:tr>
      <w:tr>
        <w:tc>
          <w:tcPr>
            <w:tcW w:type="dxa" w:w="1296"/>
            <w:shd w:val="clear" w:color="auto" w:fill="F2F2F2"/>
            <w:vAlign w:val="center"/>
          </w:tcPr>
          <w:p>
            <w:r>
              <w:rPr>
                <w:b w:val="0"/>
                <w:i w:val="0"/>
                <w:sz w:val="18"/>
              </w:rPr>
              <w:t>2</w:t>
            </w:r>
          </w:p>
        </w:tc>
        <w:tc>
          <w:tcPr>
            <w:tcW w:type="dxa" w:w="2736"/>
            <w:shd w:val="clear" w:color="auto" w:fill="F2F2F2"/>
            <w:vAlign w:val="center"/>
          </w:tcPr>
          <w:p>
            <w:r>
              <w:rPr>
                <w:b w:val="0"/>
                <w:i w:val="0"/>
                <w:color w:val="804000"/>
                <w:sz w:val="18"/>
                <w:highlight w:val="yellow"/>
              </w:rPr>
              <w:t>[■ base amount]</w:t>
            </w:r>
          </w:p>
        </w:tc>
        <w:tc>
          <w:tcPr>
            <w:tcW w:type="dxa" w:w="2448"/>
            <w:shd w:val="clear" w:color="auto" w:fill="F2F2F2"/>
            <w:vAlign w:val="center"/>
          </w:tcPr>
          <w:p>
            <w:r>
              <w:rPr>
                <w:b w:val="0"/>
                <w:i w:val="0"/>
                <w:color w:val="804000"/>
                <w:sz w:val="18"/>
                <w:highlight w:val="yellow"/>
              </w:rPr>
              <w:t>[■ escalator %]</w:t>
            </w:r>
          </w:p>
        </w:tc>
        <w:tc>
          <w:tcPr>
            <w:tcW w:type="dxa" w:w="2880"/>
            <w:shd w:val="clear" w:color="auto" w:fill="F2F2F2"/>
            <w:vAlign w:val="center"/>
          </w:tcPr>
          <w:p>
            <w:r>
              <w:rPr>
                <w:b w:val="0"/>
                <w:i w:val="0"/>
                <w:color w:val="804000"/>
                <w:sz w:val="18"/>
                <w:highlight w:val="yellow"/>
              </w:rPr>
              <w:t>[■ year-2 amount]</w:t>
            </w:r>
          </w:p>
        </w:tc>
      </w:tr>
      <w:tr>
        <w:tc>
          <w:tcPr>
            <w:tcW w:type="dxa" w:w="1296"/>
            <w:vAlign w:val="center"/>
          </w:tcPr>
          <w:p>
            <w:r>
              <w:rPr>
                <w:b w:val="0"/>
                <w:i w:val="0"/>
                <w:sz w:val="18"/>
              </w:rPr>
              <w:t>3</w:t>
            </w:r>
          </w:p>
        </w:tc>
        <w:tc>
          <w:tcPr>
            <w:tcW w:type="dxa" w:w="2736"/>
            <w:vAlign w:val="center"/>
          </w:tcPr>
          <w:p>
            <w:r>
              <w:rPr>
                <w:b w:val="0"/>
                <w:i w:val="0"/>
                <w:color w:val="804000"/>
                <w:sz w:val="18"/>
                <w:highlight w:val="yellow"/>
              </w:rPr>
              <w:t>[■ base amount]</w:t>
            </w:r>
          </w:p>
        </w:tc>
        <w:tc>
          <w:tcPr>
            <w:tcW w:type="dxa" w:w="2448"/>
            <w:vAlign w:val="center"/>
          </w:tcPr>
          <w:p>
            <w:r>
              <w:rPr>
                <w:b w:val="0"/>
                <w:i w:val="0"/>
                <w:color w:val="804000"/>
                <w:sz w:val="18"/>
                <w:highlight w:val="yellow"/>
              </w:rPr>
              <w:t>[■ escalator %]</w:t>
            </w:r>
          </w:p>
        </w:tc>
        <w:tc>
          <w:tcPr>
            <w:tcW w:type="dxa" w:w="2880"/>
            <w:vAlign w:val="center"/>
          </w:tcPr>
          <w:p>
            <w:r>
              <w:rPr>
                <w:b w:val="0"/>
                <w:i w:val="0"/>
                <w:color w:val="804000"/>
                <w:sz w:val="18"/>
                <w:highlight w:val="yellow"/>
              </w:rPr>
              <w:t>[■ year-3 amount]</w:t>
            </w:r>
          </w:p>
        </w:tc>
      </w:tr>
      <w:tr>
        <w:tc>
          <w:tcPr>
            <w:tcW w:type="dxa" w:w="1296"/>
            <w:shd w:val="clear" w:color="auto" w:fill="F2F2F2"/>
            <w:vAlign w:val="center"/>
          </w:tcPr>
          <w:p>
            <w:r>
              <w:rPr>
                <w:b w:val="0"/>
                <w:i w:val="0"/>
                <w:sz w:val="18"/>
              </w:rPr>
              <w:t>…</w:t>
            </w:r>
          </w:p>
        </w:tc>
        <w:tc>
          <w:tcPr>
            <w:tcW w:type="dxa" w:w="2736"/>
            <w:shd w:val="clear" w:color="auto" w:fill="F2F2F2"/>
            <w:vAlign w:val="center"/>
          </w:tcPr>
          <w:p>
            <w:r>
              <w:rPr>
                <w:b w:val="0"/>
                <w:i w:val="0"/>
                <w:sz w:val="18"/>
              </w:rPr>
              <w:t>…</w:t>
            </w:r>
          </w:p>
        </w:tc>
        <w:tc>
          <w:tcPr>
            <w:tcW w:type="dxa" w:w="2448"/>
            <w:shd w:val="clear" w:color="auto" w:fill="F2F2F2"/>
            <w:vAlign w:val="center"/>
          </w:tcPr>
          <w:p>
            <w:r>
              <w:rPr>
                <w:b w:val="0"/>
                <w:i w:val="0"/>
                <w:sz w:val="18"/>
              </w:rPr>
              <w:t>…</w:t>
            </w:r>
          </w:p>
        </w:tc>
        <w:tc>
          <w:tcPr>
            <w:tcW w:type="dxa" w:w="2880"/>
            <w:shd w:val="clear" w:color="auto" w:fill="F2F2F2"/>
            <w:vAlign w:val="center"/>
          </w:tcPr>
          <w:p>
            <w:r>
              <w:rPr>
                <w:b w:val="0"/>
                <w:i w:val="0"/>
                <w:sz w:val="18"/>
              </w:rPr>
              <w:t>…</w:t>
            </w:r>
          </w:p>
        </w:tc>
      </w:tr>
      <w:tr>
        <w:tc>
          <w:tcPr>
            <w:tcW w:type="dxa" w:w="1296"/>
            <w:vAlign w:val="center"/>
          </w:tcPr>
          <w:p>
            <w:r>
              <w:rPr>
                <w:b w:val="0"/>
                <w:i w:val="0"/>
                <w:sz w:val="18"/>
              </w:rPr>
              <w:t>30</w:t>
            </w:r>
          </w:p>
        </w:tc>
        <w:tc>
          <w:tcPr>
            <w:tcW w:type="dxa" w:w="2736"/>
            <w:vAlign w:val="center"/>
          </w:tcPr>
          <w:p>
            <w:r>
              <w:rPr>
                <w:b w:val="0"/>
                <w:i w:val="0"/>
                <w:color w:val="804000"/>
                <w:sz w:val="18"/>
                <w:highlight w:val="yellow"/>
              </w:rPr>
              <w:t>[■ base amount]</w:t>
            </w:r>
          </w:p>
        </w:tc>
        <w:tc>
          <w:tcPr>
            <w:tcW w:type="dxa" w:w="2448"/>
            <w:vAlign w:val="center"/>
          </w:tcPr>
          <w:p>
            <w:r>
              <w:rPr>
                <w:b w:val="0"/>
                <w:i w:val="0"/>
                <w:color w:val="804000"/>
                <w:sz w:val="18"/>
                <w:highlight w:val="yellow"/>
              </w:rPr>
              <w:t>[■ escalator %]</w:t>
            </w:r>
          </w:p>
        </w:tc>
        <w:tc>
          <w:tcPr>
            <w:tcW w:type="dxa" w:w="2880"/>
            <w:vAlign w:val="center"/>
          </w:tcPr>
          <w:p>
            <w:r>
              <w:rPr>
                <w:b w:val="0"/>
                <w:i w:val="0"/>
                <w:color w:val="804000"/>
                <w:sz w:val="18"/>
                <w:highlight w:val="yellow"/>
              </w:rPr>
              <w:t>[■ final-year amount]</w:t>
            </w:r>
          </w:p>
        </w:tc>
      </w:tr>
    </w:tbl>
    <w:p>
      <w:pPr>
        <w:pStyle w:val="Heading2"/>
        <w:spacing w:before="160" w:after="60"/>
      </w:pPr>
      <w:r>
        <w:rPr>
          <w:rFonts w:ascii="Calibri" w:hAnsi="Calibri"/>
          <w:b/>
          <w:color w:val="000000"/>
          <w:sz w:val="22"/>
        </w:rPr>
        <w:t>3.4  Option B — Percentage of Gross Revenue</w:t>
      </w:r>
    </w:p>
    <w:p>
      <w:r>
        <w:rPr>
          <w:b w:val="0"/>
          <w:i w:val="0"/>
        </w:rPr>
        <w:t>Mechanism. RIVR Tech pays the Tribe 5% (placeholder) of Gross Revenue (Section 2.1), with no deduction for Operating Expenses. Excluded Revenue (Section 2.6), including grant funds, remitted taxes, refunds, and capped bad debt, is not in the base. Installation, Voice, Equipment, Late Fees, Wholesale, and Enterprise revenue ARE in the base; revenue from Non-Tribal Customers derived from the Tribal Assets is included and subject to program-income treatment.</w:t>
      </w:r>
    </w:p>
    <w:tbl>
      <w:tblPr>
        <w:tblStyle w:val="TableGrid"/>
        <w:tblW w:type="auto" w:w="0"/>
        <w:jc w:val="center"/>
        <w:tblLook w:firstColumn="1" w:firstRow="1" w:lastColumn="0" w:lastRow="0" w:noHBand="0" w:noVBand="1" w:val="04A0"/>
      </w:tblPr>
      <w:tblGrid>
        <w:gridCol w:w="4680"/>
        <w:gridCol w:w="4680"/>
      </w:tblGrid>
      <w:tr>
        <w:tc>
          <w:tcPr>
            <w:tcW w:type="dxa" w:w="5184"/>
            <w:shd w:val="clear" w:color="auto" w:fill="1F3864"/>
            <w:vAlign w:val="center"/>
          </w:tcPr>
          <w:p>
            <w:pPr>
              <w:jc w:val="center"/>
            </w:pPr>
            <w:r>
              <w:rPr>
                <w:b/>
                <w:color w:val="FFFFFF"/>
                <w:sz w:val="18"/>
              </w:rPr>
              <w:t>Line</w:t>
            </w:r>
          </w:p>
        </w:tc>
        <w:tc>
          <w:tcPr>
            <w:tcW w:type="dxa" w:w="4176"/>
            <w:shd w:val="clear" w:color="auto" w:fill="1F3864"/>
            <w:vAlign w:val="center"/>
          </w:tcPr>
          <w:p>
            <w:pPr>
              <w:jc w:val="center"/>
            </w:pPr>
            <w:r>
              <w:rPr>
                <w:b/>
                <w:color w:val="FFFFFF"/>
                <w:sz w:val="18"/>
              </w:rPr>
              <w:t>Illustrative amount</w:t>
            </w:r>
          </w:p>
        </w:tc>
      </w:tr>
      <w:tr>
        <w:tc>
          <w:tcPr>
            <w:tcW w:type="dxa" w:w="5184"/>
            <w:vAlign w:val="center"/>
          </w:tcPr>
          <w:p>
            <w:r>
              <w:rPr>
                <w:b w:val="0"/>
                <w:i w:val="0"/>
                <w:sz w:val="18"/>
              </w:rPr>
              <w:t>Gross Revenue (stabilized year)</w:t>
            </w:r>
          </w:p>
        </w:tc>
        <w:tc>
          <w:tcPr>
            <w:tcW w:type="dxa" w:w="4176"/>
            <w:vAlign w:val="center"/>
          </w:tcPr>
          <w:p>
            <w:r>
              <w:rPr>
                <w:b w:val="0"/>
                <w:i w:val="0"/>
                <w:color w:val="804000"/>
                <w:sz w:val="18"/>
                <w:highlight w:val="yellow"/>
              </w:rPr>
              <w:t>[■ Gross Revenue — 04_Financial_Model]</w:t>
            </w:r>
          </w:p>
        </w:tc>
      </w:tr>
      <w:tr>
        <w:tc>
          <w:tcPr>
            <w:tcW w:type="dxa" w:w="5184"/>
            <w:shd w:val="clear" w:color="auto" w:fill="F2F2F2"/>
            <w:vAlign w:val="center"/>
          </w:tcPr>
          <w:p>
            <w:r>
              <w:rPr>
                <w:b w:val="0"/>
                <w:i w:val="0"/>
                <w:sz w:val="18"/>
              </w:rPr>
              <w:t>Less: Excluded Revenue (grant/taxes/refunds/bad debt)</w:t>
            </w:r>
          </w:p>
        </w:tc>
        <w:tc>
          <w:tcPr>
            <w:tcW w:type="dxa" w:w="4176"/>
            <w:shd w:val="clear" w:color="auto" w:fill="F2F2F2"/>
            <w:vAlign w:val="center"/>
          </w:tcPr>
          <w:p>
            <w:r>
              <w:rPr>
                <w:b w:val="0"/>
                <w:i w:val="0"/>
                <w:color w:val="804000"/>
                <w:sz w:val="18"/>
                <w:highlight w:val="yellow"/>
              </w:rPr>
              <w:t>[■ excluded amount]</w:t>
            </w:r>
          </w:p>
        </w:tc>
      </w:tr>
      <w:tr>
        <w:tc>
          <w:tcPr>
            <w:tcW w:type="dxa" w:w="5184"/>
            <w:vAlign w:val="center"/>
          </w:tcPr>
          <w:p>
            <w:r>
              <w:rPr>
                <w:b w:val="0"/>
                <w:i w:val="0"/>
                <w:sz w:val="18"/>
              </w:rPr>
              <w:t>Revenue-share base</w:t>
            </w:r>
          </w:p>
        </w:tc>
        <w:tc>
          <w:tcPr>
            <w:tcW w:type="dxa" w:w="4176"/>
            <w:vAlign w:val="center"/>
          </w:tcPr>
          <w:p>
            <w:r>
              <w:rPr>
                <w:b w:val="0"/>
                <w:i w:val="0"/>
                <w:color w:val="804000"/>
                <w:sz w:val="18"/>
                <w:highlight w:val="yellow"/>
              </w:rPr>
              <w:t>[■ share base]</w:t>
            </w:r>
          </w:p>
        </w:tc>
      </w:tr>
      <w:tr>
        <w:tc>
          <w:tcPr>
            <w:tcW w:type="dxa" w:w="5184"/>
            <w:shd w:val="clear" w:color="auto" w:fill="F2F2F2"/>
            <w:vAlign w:val="center"/>
          </w:tcPr>
          <w:p>
            <w:r>
              <w:rPr>
                <w:b w:val="0"/>
                <w:i w:val="0"/>
                <w:sz w:val="18"/>
              </w:rPr>
              <w:t>× Revenue-share rate (5%)</w:t>
            </w:r>
          </w:p>
        </w:tc>
        <w:tc>
          <w:tcPr>
            <w:tcW w:type="dxa" w:w="4176"/>
            <w:shd w:val="clear" w:color="auto" w:fill="F2F2F2"/>
            <w:vAlign w:val="center"/>
          </w:tcPr>
          <w:p>
            <w:r>
              <w:rPr>
                <w:b w:val="0"/>
                <w:i w:val="0"/>
                <w:sz w:val="18"/>
              </w:rPr>
              <w:t>5%</w:t>
            </w:r>
          </w:p>
        </w:tc>
      </w:tr>
      <w:tr>
        <w:tc>
          <w:tcPr>
            <w:tcW w:type="dxa" w:w="5184"/>
            <w:vAlign w:val="center"/>
          </w:tcPr>
          <w:p>
            <w:r>
              <w:rPr>
                <w:b w:val="0"/>
                <w:i w:val="0"/>
                <w:sz w:val="18"/>
              </w:rPr>
              <w:t>= Payment to Tribe (stabilized year)</w:t>
            </w:r>
          </w:p>
        </w:tc>
        <w:tc>
          <w:tcPr>
            <w:tcW w:type="dxa" w:w="4176"/>
            <w:vAlign w:val="center"/>
          </w:tcPr>
          <w:p>
            <w:r>
              <w:rPr>
                <w:b w:val="0"/>
                <w:i w:val="0"/>
                <w:color w:val="804000"/>
                <w:sz w:val="18"/>
                <w:highlight w:val="yellow"/>
              </w:rPr>
              <w:t>[■ Option B payment]</w:t>
            </w:r>
          </w:p>
        </w:tc>
      </w:tr>
    </w:tbl>
    <w:p>
      <w:pPr>
        <w:pStyle w:val="Heading2"/>
        <w:spacing w:before="160" w:after="60"/>
      </w:pPr>
      <w:r>
        <w:rPr>
          <w:rFonts w:ascii="Calibri" w:hAnsi="Calibri"/>
          <w:b/>
          <w:color w:val="000000"/>
          <w:sz w:val="22"/>
        </w:rPr>
        <w:t>3.5  Option C — Percentage of Adjusted Operating Cash Flow</w:t>
      </w:r>
    </w:p>
    <w:p>
      <w:r>
        <w:rPr>
          <w:b w:val="0"/>
          <w:i w:val="0"/>
        </w:rPr>
        <w:t>Mechanism. RIVR Tech pays the Tribe 20% (placeholder) of Adjusted Operating Cash Flow (Section 2.13). Because AOCF nets Operating Expenses (after the related-party and overhead limits) and the reserve allowance against Gross Revenue, the arm’s-length standard (Section 2.10), the overhead cap (Section 2.11), and the Shared-Expense allocation (Section 2.9) directly protect the Tribe’s payment.</w:t>
      </w:r>
    </w:p>
    <w:tbl>
      <w:tblPr>
        <w:tblStyle w:val="TableGrid"/>
        <w:tblW w:type="auto" w:w="0"/>
        <w:jc w:val="center"/>
        <w:tblLook w:firstColumn="1" w:firstRow="1" w:lastColumn="0" w:lastRow="0" w:noHBand="0" w:noVBand="1" w:val="04A0"/>
      </w:tblPr>
      <w:tblGrid>
        <w:gridCol w:w="4680"/>
        <w:gridCol w:w="4680"/>
      </w:tblGrid>
      <w:tr>
        <w:tc>
          <w:tcPr>
            <w:tcW w:type="dxa" w:w="5184"/>
            <w:shd w:val="clear" w:color="auto" w:fill="1F3864"/>
            <w:vAlign w:val="center"/>
          </w:tcPr>
          <w:p>
            <w:pPr>
              <w:jc w:val="center"/>
            </w:pPr>
            <w:r>
              <w:rPr>
                <w:b/>
                <w:color w:val="FFFFFF"/>
                <w:sz w:val="18"/>
              </w:rPr>
              <w:t>Line</w:t>
            </w:r>
          </w:p>
        </w:tc>
        <w:tc>
          <w:tcPr>
            <w:tcW w:type="dxa" w:w="4176"/>
            <w:shd w:val="clear" w:color="auto" w:fill="1F3864"/>
            <w:vAlign w:val="center"/>
          </w:tcPr>
          <w:p>
            <w:pPr>
              <w:jc w:val="center"/>
            </w:pPr>
            <w:r>
              <w:rPr>
                <w:b/>
                <w:color w:val="FFFFFF"/>
                <w:sz w:val="18"/>
              </w:rPr>
              <w:t>Illustrative amount</w:t>
            </w:r>
          </w:p>
        </w:tc>
      </w:tr>
      <w:tr>
        <w:tc>
          <w:tcPr>
            <w:tcW w:type="dxa" w:w="5184"/>
            <w:vAlign w:val="center"/>
          </w:tcPr>
          <w:p>
            <w:r>
              <w:rPr>
                <w:b w:val="0"/>
                <w:i w:val="0"/>
                <w:sz w:val="18"/>
              </w:rPr>
              <w:t>Gross Revenue (stabilized year)</w:t>
            </w:r>
          </w:p>
        </w:tc>
        <w:tc>
          <w:tcPr>
            <w:tcW w:type="dxa" w:w="4176"/>
            <w:vAlign w:val="center"/>
          </w:tcPr>
          <w:p>
            <w:r>
              <w:rPr>
                <w:b w:val="0"/>
                <w:i w:val="0"/>
                <w:color w:val="804000"/>
                <w:sz w:val="18"/>
                <w:highlight w:val="yellow"/>
              </w:rPr>
              <w:t>[■ Gross Revenue]</w:t>
            </w:r>
          </w:p>
        </w:tc>
      </w:tr>
      <w:tr>
        <w:tc>
          <w:tcPr>
            <w:tcW w:type="dxa" w:w="5184"/>
            <w:shd w:val="clear" w:color="auto" w:fill="F2F2F2"/>
            <w:vAlign w:val="center"/>
          </w:tcPr>
          <w:p>
            <w:r>
              <w:rPr>
                <w:b w:val="0"/>
                <w:i w:val="0"/>
                <w:sz w:val="18"/>
              </w:rPr>
              <w:t>Less: Operating Expenses (arm’s-length; overhead-capped)</w:t>
            </w:r>
          </w:p>
        </w:tc>
        <w:tc>
          <w:tcPr>
            <w:tcW w:type="dxa" w:w="4176"/>
            <w:shd w:val="clear" w:color="auto" w:fill="F2F2F2"/>
            <w:vAlign w:val="center"/>
          </w:tcPr>
          <w:p>
            <w:r>
              <w:rPr>
                <w:b w:val="0"/>
                <w:i w:val="0"/>
                <w:color w:val="804000"/>
                <w:sz w:val="18"/>
                <w:highlight w:val="yellow"/>
              </w:rPr>
              <w:t>[■ OpEx]</w:t>
            </w:r>
          </w:p>
        </w:tc>
      </w:tr>
      <w:tr>
        <w:tc>
          <w:tcPr>
            <w:tcW w:type="dxa" w:w="5184"/>
            <w:vAlign w:val="center"/>
          </w:tcPr>
          <w:p>
            <w:r>
              <w:rPr>
                <w:b w:val="0"/>
                <w:i w:val="0"/>
                <w:sz w:val="18"/>
              </w:rPr>
              <w:t>Less: capital-replacement reserve allowance</w:t>
            </w:r>
          </w:p>
        </w:tc>
        <w:tc>
          <w:tcPr>
            <w:tcW w:type="dxa" w:w="4176"/>
            <w:vAlign w:val="center"/>
          </w:tcPr>
          <w:p>
            <w:r>
              <w:rPr>
                <w:b w:val="0"/>
                <w:i w:val="0"/>
                <w:color w:val="804000"/>
                <w:sz w:val="18"/>
                <w:highlight w:val="yellow"/>
              </w:rPr>
              <w:t>[■ reserve allowance]</w:t>
            </w:r>
          </w:p>
        </w:tc>
      </w:tr>
      <w:tr>
        <w:tc>
          <w:tcPr>
            <w:tcW w:type="dxa" w:w="5184"/>
            <w:shd w:val="clear" w:color="auto" w:fill="F2F2F2"/>
            <w:vAlign w:val="center"/>
          </w:tcPr>
          <w:p>
            <w:r>
              <w:rPr>
                <w:b w:val="0"/>
                <w:i w:val="0"/>
                <w:sz w:val="18"/>
              </w:rPr>
              <w:t>= Adjusted Operating Cash Flow (AOCF)</w:t>
            </w:r>
          </w:p>
        </w:tc>
        <w:tc>
          <w:tcPr>
            <w:tcW w:type="dxa" w:w="4176"/>
            <w:shd w:val="clear" w:color="auto" w:fill="F2F2F2"/>
            <w:vAlign w:val="center"/>
          </w:tcPr>
          <w:p>
            <w:r>
              <w:rPr>
                <w:b w:val="0"/>
                <w:i w:val="0"/>
                <w:color w:val="804000"/>
                <w:sz w:val="18"/>
                <w:highlight w:val="yellow"/>
              </w:rPr>
              <w:t>[■ AOCF]</w:t>
            </w:r>
          </w:p>
        </w:tc>
      </w:tr>
      <w:tr>
        <w:tc>
          <w:tcPr>
            <w:tcW w:type="dxa" w:w="5184"/>
            <w:vAlign w:val="center"/>
          </w:tcPr>
          <w:p>
            <w:r>
              <w:rPr>
                <w:b w:val="0"/>
                <w:i w:val="0"/>
                <w:sz w:val="18"/>
              </w:rPr>
              <w:t>× Cash-flow-share rate (20%)</w:t>
            </w:r>
          </w:p>
        </w:tc>
        <w:tc>
          <w:tcPr>
            <w:tcW w:type="dxa" w:w="4176"/>
            <w:vAlign w:val="center"/>
          </w:tcPr>
          <w:p>
            <w:r>
              <w:rPr>
                <w:b w:val="0"/>
                <w:i w:val="0"/>
                <w:sz w:val="18"/>
              </w:rPr>
              <w:t>20%</w:t>
            </w:r>
          </w:p>
        </w:tc>
      </w:tr>
      <w:tr>
        <w:tc>
          <w:tcPr>
            <w:tcW w:type="dxa" w:w="5184"/>
            <w:shd w:val="clear" w:color="auto" w:fill="F2F2F2"/>
            <w:vAlign w:val="center"/>
          </w:tcPr>
          <w:p>
            <w:r>
              <w:rPr>
                <w:b w:val="0"/>
                <w:i w:val="0"/>
                <w:sz w:val="18"/>
              </w:rPr>
              <w:t>= Payment to Tribe (stabilized year)</w:t>
            </w:r>
          </w:p>
        </w:tc>
        <w:tc>
          <w:tcPr>
            <w:tcW w:type="dxa" w:w="4176"/>
            <w:shd w:val="clear" w:color="auto" w:fill="F2F2F2"/>
            <w:vAlign w:val="center"/>
          </w:tcPr>
          <w:p>
            <w:r>
              <w:rPr>
                <w:b w:val="0"/>
                <w:i w:val="0"/>
                <w:color w:val="804000"/>
                <w:sz w:val="18"/>
                <w:highlight w:val="yellow"/>
              </w:rPr>
              <w:t>[■ Option C payment]</w:t>
            </w:r>
          </w:p>
        </w:tc>
      </w:tr>
    </w:tbl>
    <w:p>
      <w:pPr>
        <w:pStyle w:val="Heading2"/>
        <w:spacing w:before="160" w:after="60"/>
      </w:pPr>
      <w:r>
        <w:rPr>
          <w:rFonts w:ascii="Calibri" w:hAnsi="Calibri"/>
          <w:b/>
          <w:color w:val="000000"/>
          <w:sz w:val="22"/>
        </w:rPr>
        <w:t>3.6  Option D — Hybrid (Fixed Base Payment plus Revenue Share)</w:t>
      </w:r>
    </w:p>
    <w:p>
      <w:r>
        <w:rPr>
          <w:b w:val="0"/>
          <w:i w:val="0"/>
        </w:rPr>
        <w:t xml:space="preserve">Mechanism. RIVR Tech pays the Tribe (i) a fixed base payment of </w:t>
      </w:r>
      <w:r>
        <w:rPr>
          <w:b w:val="0"/>
          <w:i w:val="0"/>
          <w:color w:val="804000"/>
          <w:highlight w:val="yellow"/>
        </w:rPr>
        <w:t>[■ fixed base, e.g., $100,000–$250,000/yr]</w:t>
      </w:r>
      <w:r>
        <w:rPr>
          <w:b w:val="0"/>
          <w:i w:val="0"/>
        </w:rPr>
        <w:t xml:space="preserve"> PLUS (ii) a revenue share of 5% (placeholder) of Gross Revenue above an annual threshold of </w:t>
      </w:r>
      <w:r>
        <w:rPr>
          <w:b w:val="0"/>
          <w:i w:val="0"/>
          <w:color w:val="804000"/>
          <w:highlight w:val="yellow"/>
        </w:rPr>
        <w:t>[■ threshold, e.g., $2,000,000]</w:t>
      </w:r>
      <w:r>
        <w:rPr>
          <w:b w:val="0"/>
          <w:i w:val="0"/>
        </w:rPr>
        <w:t xml:space="preserve">. The fixed base provides a certain floor (as in Option A); the revenue-share layer provides upside participation (as in Option B) once the network reaches scale. A cap or collar on the variable layer may be added at </w:t>
      </w:r>
      <w:r>
        <w:rPr>
          <w:b w:val="0"/>
          <w:i w:val="0"/>
          <w:color w:val="804000"/>
          <w:highlight w:val="yellow"/>
        </w:rPr>
        <w:t>[■ optional cap/collar terms]</w:t>
      </w:r>
      <w:r>
        <w:rPr>
          <w:b w:val="0"/>
          <w:i w:val="0"/>
        </w:rPr>
        <w:t>.</w:t>
      </w:r>
    </w:p>
    <w:tbl>
      <w:tblPr>
        <w:tblStyle w:val="TableGrid"/>
        <w:tblW w:type="auto" w:w="0"/>
        <w:jc w:val="center"/>
        <w:tblLook w:firstColumn="1" w:firstRow="1" w:lastColumn="0" w:lastRow="0" w:noHBand="0" w:noVBand="1" w:val="04A0"/>
      </w:tblPr>
      <w:tblGrid>
        <w:gridCol w:w="4680"/>
        <w:gridCol w:w="4680"/>
      </w:tblGrid>
      <w:tr>
        <w:tc>
          <w:tcPr>
            <w:tcW w:type="dxa" w:w="5184"/>
            <w:shd w:val="clear" w:color="auto" w:fill="1F3864"/>
            <w:vAlign w:val="center"/>
          </w:tcPr>
          <w:p>
            <w:pPr>
              <w:jc w:val="center"/>
            </w:pPr>
            <w:r>
              <w:rPr>
                <w:b/>
                <w:color w:val="FFFFFF"/>
                <w:sz w:val="18"/>
              </w:rPr>
              <w:t>Line</w:t>
            </w:r>
          </w:p>
        </w:tc>
        <w:tc>
          <w:tcPr>
            <w:tcW w:type="dxa" w:w="4176"/>
            <w:shd w:val="clear" w:color="auto" w:fill="1F3864"/>
            <w:vAlign w:val="center"/>
          </w:tcPr>
          <w:p>
            <w:pPr>
              <w:jc w:val="center"/>
            </w:pPr>
            <w:r>
              <w:rPr>
                <w:b/>
                <w:color w:val="FFFFFF"/>
                <w:sz w:val="18"/>
              </w:rPr>
              <w:t>Illustrative amount</w:t>
            </w:r>
          </w:p>
        </w:tc>
      </w:tr>
      <w:tr>
        <w:tc>
          <w:tcPr>
            <w:tcW w:type="dxa" w:w="5184"/>
            <w:vAlign w:val="center"/>
          </w:tcPr>
          <w:p>
            <w:r>
              <w:rPr>
                <w:b w:val="0"/>
                <w:i w:val="0"/>
                <w:sz w:val="18"/>
              </w:rPr>
              <w:t>Fixed base payment (floor)</w:t>
            </w:r>
          </w:p>
        </w:tc>
        <w:tc>
          <w:tcPr>
            <w:tcW w:type="dxa" w:w="4176"/>
            <w:vAlign w:val="center"/>
          </w:tcPr>
          <w:p>
            <w:r>
              <w:rPr>
                <w:b w:val="0"/>
                <w:i w:val="0"/>
                <w:color w:val="804000"/>
                <w:sz w:val="18"/>
                <w:highlight w:val="yellow"/>
              </w:rPr>
              <w:t>[■ fixed base]</w:t>
            </w:r>
          </w:p>
        </w:tc>
      </w:tr>
      <w:tr>
        <w:tc>
          <w:tcPr>
            <w:tcW w:type="dxa" w:w="5184"/>
            <w:shd w:val="clear" w:color="auto" w:fill="F2F2F2"/>
            <w:vAlign w:val="center"/>
          </w:tcPr>
          <w:p>
            <w:r>
              <w:rPr>
                <w:b w:val="0"/>
                <w:i w:val="0"/>
                <w:sz w:val="18"/>
              </w:rPr>
              <w:t>Gross Revenue (stabilized year)</w:t>
            </w:r>
          </w:p>
        </w:tc>
        <w:tc>
          <w:tcPr>
            <w:tcW w:type="dxa" w:w="4176"/>
            <w:shd w:val="clear" w:color="auto" w:fill="F2F2F2"/>
            <w:vAlign w:val="center"/>
          </w:tcPr>
          <w:p>
            <w:r>
              <w:rPr>
                <w:b w:val="0"/>
                <w:i w:val="0"/>
                <w:color w:val="804000"/>
                <w:sz w:val="18"/>
                <w:highlight w:val="yellow"/>
              </w:rPr>
              <w:t>[■ Gross Revenue]</w:t>
            </w:r>
          </w:p>
        </w:tc>
      </w:tr>
      <w:tr>
        <w:tc>
          <w:tcPr>
            <w:tcW w:type="dxa" w:w="5184"/>
            <w:vAlign w:val="center"/>
          </w:tcPr>
          <w:p>
            <w:r>
              <w:rPr>
                <w:b w:val="0"/>
                <w:i w:val="0"/>
                <w:sz w:val="18"/>
              </w:rPr>
              <w:t>Less: revenue-share threshold</w:t>
            </w:r>
          </w:p>
        </w:tc>
        <w:tc>
          <w:tcPr>
            <w:tcW w:type="dxa" w:w="4176"/>
            <w:vAlign w:val="center"/>
          </w:tcPr>
          <w:p>
            <w:r>
              <w:rPr>
                <w:b w:val="0"/>
                <w:i w:val="0"/>
                <w:color w:val="804000"/>
                <w:sz w:val="18"/>
                <w:highlight w:val="yellow"/>
              </w:rPr>
              <w:t>[■ threshold]</w:t>
            </w:r>
          </w:p>
        </w:tc>
      </w:tr>
      <w:tr>
        <w:tc>
          <w:tcPr>
            <w:tcW w:type="dxa" w:w="5184"/>
            <w:shd w:val="clear" w:color="auto" w:fill="F2F2F2"/>
            <w:vAlign w:val="center"/>
          </w:tcPr>
          <w:p>
            <w:r>
              <w:rPr>
                <w:b w:val="0"/>
                <w:i w:val="0"/>
                <w:sz w:val="18"/>
              </w:rPr>
              <w:t>Gross Revenue above threshold</w:t>
            </w:r>
          </w:p>
        </w:tc>
        <w:tc>
          <w:tcPr>
            <w:tcW w:type="dxa" w:w="4176"/>
            <w:shd w:val="clear" w:color="auto" w:fill="F2F2F2"/>
            <w:vAlign w:val="center"/>
          </w:tcPr>
          <w:p>
            <w:r>
              <w:rPr>
                <w:b w:val="0"/>
                <w:i w:val="0"/>
                <w:color w:val="804000"/>
                <w:sz w:val="18"/>
                <w:highlight w:val="yellow"/>
              </w:rPr>
              <w:t>[■ excess over threshold]</w:t>
            </w:r>
          </w:p>
        </w:tc>
      </w:tr>
      <w:tr>
        <w:tc>
          <w:tcPr>
            <w:tcW w:type="dxa" w:w="5184"/>
            <w:vAlign w:val="center"/>
          </w:tcPr>
          <w:p>
            <w:r>
              <w:rPr>
                <w:b w:val="0"/>
                <w:i w:val="0"/>
                <w:sz w:val="18"/>
              </w:rPr>
              <w:t>× Revenue-share rate (5%)</w:t>
            </w:r>
          </w:p>
        </w:tc>
        <w:tc>
          <w:tcPr>
            <w:tcW w:type="dxa" w:w="4176"/>
            <w:vAlign w:val="center"/>
          </w:tcPr>
          <w:p>
            <w:r>
              <w:rPr>
                <w:b w:val="0"/>
                <w:i w:val="0"/>
                <w:sz w:val="18"/>
              </w:rPr>
              <w:t>5%</w:t>
            </w:r>
          </w:p>
        </w:tc>
      </w:tr>
      <w:tr>
        <w:tc>
          <w:tcPr>
            <w:tcW w:type="dxa" w:w="5184"/>
            <w:shd w:val="clear" w:color="auto" w:fill="F2F2F2"/>
            <w:vAlign w:val="center"/>
          </w:tcPr>
          <w:p>
            <w:r>
              <w:rPr>
                <w:b w:val="0"/>
                <w:i w:val="0"/>
                <w:sz w:val="18"/>
              </w:rPr>
              <w:t>= Variable layer</w:t>
            </w:r>
          </w:p>
        </w:tc>
        <w:tc>
          <w:tcPr>
            <w:tcW w:type="dxa" w:w="4176"/>
            <w:shd w:val="clear" w:color="auto" w:fill="F2F2F2"/>
            <w:vAlign w:val="center"/>
          </w:tcPr>
          <w:p>
            <w:r>
              <w:rPr>
                <w:b w:val="0"/>
                <w:i w:val="0"/>
                <w:color w:val="804000"/>
                <w:sz w:val="18"/>
                <w:highlight w:val="yellow"/>
              </w:rPr>
              <w:t>[■ variable layer]</w:t>
            </w:r>
          </w:p>
        </w:tc>
      </w:tr>
      <w:tr>
        <w:tc>
          <w:tcPr>
            <w:tcW w:type="dxa" w:w="5184"/>
            <w:vAlign w:val="center"/>
          </w:tcPr>
          <w:p>
            <w:r>
              <w:rPr>
                <w:b w:val="0"/>
                <w:i w:val="0"/>
                <w:sz w:val="18"/>
              </w:rPr>
              <w:t>= Total payment to Tribe (base + variable)</w:t>
            </w:r>
          </w:p>
        </w:tc>
        <w:tc>
          <w:tcPr>
            <w:tcW w:type="dxa" w:w="4176"/>
            <w:vAlign w:val="center"/>
          </w:tcPr>
          <w:p>
            <w:r>
              <w:rPr>
                <w:b w:val="0"/>
                <w:i w:val="0"/>
                <w:color w:val="804000"/>
                <w:sz w:val="18"/>
                <w:highlight w:val="yellow"/>
              </w:rPr>
              <w:t>[■ Option D payment]</w:t>
            </w:r>
          </w:p>
        </w:tc>
      </w:tr>
    </w:tbl>
    <w:p>
      <w:pPr>
        <w:pStyle w:val="Heading2"/>
        <w:spacing w:before="160" w:after="60"/>
      </w:pPr>
      <w:r>
        <w:rPr>
          <w:rFonts w:ascii="Calibri" w:hAnsi="Calibri"/>
          <w:b/>
          <w:color w:val="000000"/>
          <w:sz w:val="22"/>
        </w:rPr>
        <w:t>3.7  Option E — Initial Payment Holiday followed by Stepped Payments</w:t>
      </w:r>
    </w:p>
    <w:p>
      <w:r>
        <w:rPr>
          <w:b w:val="0"/>
          <w:i w:val="0"/>
        </w:rPr>
        <w:t xml:space="preserve">Mechanism. No payment (or a nominal </w:t>
      </w:r>
      <w:r>
        <w:rPr>
          <w:b w:val="0"/>
          <w:i w:val="0"/>
          <w:color w:val="804000"/>
          <w:highlight w:val="yellow"/>
        </w:rPr>
        <w:t>[■ nominal amount, e.g., $1/yr]</w:t>
      </w:r>
      <w:r>
        <w:rPr>
          <w:b w:val="0"/>
          <w:i w:val="0"/>
        </w:rPr>
        <w:t xml:space="preserve">) accrues during an initial payment holiday of </w:t>
      </w:r>
      <w:r>
        <w:rPr>
          <w:b w:val="0"/>
          <w:i w:val="0"/>
          <w:color w:val="804000"/>
          <w:highlight w:val="yellow"/>
        </w:rPr>
        <w:t>[■ holiday, e.g., 24–36 months]</w:t>
      </w:r>
      <w:r>
        <w:rPr>
          <w:b w:val="0"/>
          <w:i w:val="0"/>
        </w:rPr>
        <w:t xml:space="preserve"> to preserve construction- and ramp-phase cash flow, after which payments step up on a fixed schedule keyed to the Financial Model’s revenue ramp. The stepped amounts may be expressed as fixed dollars (Option A style) or as a revenue share (Option B style) once the holiday ends.</w:t>
      </w:r>
    </w:p>
    <w:tbl>
      <w:tblPr>
        <w:tblStyle w:val="TableGrid"/>
        <w:tblW w:type="auto" w:w="0"/>
        <w:jc w:val="center"/>
        <w:tblLook w:firstColumn="1" w:firstRow="1" w:lastColumn="0" w:lastRow="0" w:noHBand="0" w:noVBand="1" w:val="04A0"/>
      </w:tblPr>
      <w:tblGrid>
        <w:gridCol w:w="3120"/>
        <w:gridCol w:w="3120"/>
        <w:gridCol w:w="3120"/>
      </w:tblGrid>
      <w:tr>
        <w:tc>
          <w:tcPr>
            <w:tcW w:type="dxa" w:w="2736"/>
            <w:shd w:val="clear" w:color="auto" w:fill="1F3864"/>
            <w:vAlign w:val="center"/>
          </w:tcPr>
          <w:p>
            <w:pPr>
              <w:jc w:val="center"/>
            </w:pPr>
            <w:r>
              <w:rPr>
                <w:b/>
                <w:color w:val="FFFFFF"/>
                <w:sz w:val="18"/>
              </w:rPr>
              <w:t>Period</w:t>
            </w:r>
          </w:p>
        </w:tc>
        <w:tc>
          <w:tcPr>
            <w:tcW w:type="dxa" w:w="3312"/>
            <w:shd w:val="clear" w:color="auto" w:fill="1F3864"/>
            <w:vAlign w:val="center"/>
          </w:tcPr>
          <w:p>
            <w:pPr>
              <w:jc w:val="center"/>
            </w:pPr>
            <w:r>
              <w:rPr>
                <w:b/>
                <w:color w:val="FFFFFF"/>
                <w:sz w:val="18"/>
              </w:rPr>
              <w:t>Payment basis</w:t>
            </w:r>
          </w:p>
        </w:tc>
        <w:tc>
          <w:tcPr>
            <w:tcW w:type="dxa" w:w="3312"/>
            <w:shd w:val="clear" w:color="auto" w:fill="1F3864"/>
            <w:vAlign w:val="center"/>
          </w:tcPr>
          <w:p>
            <w:pPr>
              <w:jc w:val="center"/>
            </w:pPr>
            <w:r>
              <w:rPr>
                <w:b/>
                <w:color w:val="FFFFFF"/>
                <w:sz w:val="18"/>
              </w:rPr>
              <w:t>Payment to Tribe</w:t>
            </w:r>
          </w:p>
        </w:tc>
      </w:tr>
      <w:tr>
        <w:tc>
          <w:tcPr>
            <w:tcW w:type="dxa" w:w="2736"/>
            <w:vAlign w:val="center"/>
          </w:tcPr>
          <w:p>
            <w:r>
              <w:rPr>
                <w:b w:val="0"/>
                <w:i w:val="0"/>
                <w:color w:val="804000"/>
                <w:sz w:val="18"/>
                <w:highlight w:val="yellow"/>
              </w:rPr>
              <w:t>[■ holiday years]</w:t>
            </w:r>
          </w:p>
        </w:tc>
        <w:tc>
          <w:tcPr>
            <w:tcW w:type="dxa" w:w="3312"/>
            <w:vAlign w:val="center"/>
          </w:tcPr>
          <w:p>
            <w:r>
              <w:rPr>
                <w:b w:val="0"/>
                <w:i w:val="0"/>
                <w:sz w:val="18"/>
              </w:rPr>
              <w:t>Payment holiday (nominal)</w:t>
            </w:r>
          </w:p>
        </w:tc>
        <w:tc>
          <w:tcPr>
            <w:tcW w:type="dxa" w:w="3312"/>
            <w:vAlign w:val="center"/>
          </w:tcPr>
          <w:p>
            <w:r>
              <w:rPr>
                <w:b w:val="0"/>
                <w:i w:val="0"/>
                <w:color w:val="804000"/>
                <w:sz w:val="18"/>
                <w:highlight w:val="yellow"/>
              </w:rPr>
              <w:t>[■ $1 / nominal]</w:t>
            </w:r>
          </w:p>
        </w:tc>
      </w:tr>
      <w:tr>
        <w:tc>
          <w:tcPr>
            <w:tcW w:type="dxa" w:w="2736"/>
            <w:shd w:val="clear" w:color="auto" w:fill="F2F2F2"/>
            <w:vAlign w:val="center"/>
          </w:tcPr>
          <w:p>
            <w:r>
              <w:rPr>
                <w:b w:val="0"/>
                <w:i w:val="0"/>
                <w:color w:val="804000"/>
                <w:sz w:val="18"/>
                <w:highlight w:val="yellow"/>
              </w:rPr>
              <w:t>[■ step-1 years]</w:t>
            </w:r>
          </w:p>
        </w:tc>
        <w:tc>
          <w:tcPr>
            <w:tcW w:type="dxa" w:w="3312"/>
            <w:shd w:val="clear" w:color="auto" w:fill="F2F2F2"/>
            <w:vAlign w:val="center"/>
          </w:tcPr>
          <w:p>
            <w:r>
              <w:rPr>
                <w:b w:val="0"/>
                <w:i w:val="0"/>
                <w:sz w:val="18"/>
              </w:rPr>
              <w:t>First step</w:t>
            </w:r>
          </w:p>
        </w:tc>
        <w:tc>
          <w:tcPr>
            <w:tcW w:type="dxa" w:w="3312"/>
            <w:shd w:val="clear" w:color="auto" w:fill="F2F2F2"/>
            <w:vAlign w:val="center"/>
          </w:tcPr>
          <w:p>
            <w:r>
              <w:rPr>
                <w:b w:val="0"/>
                <w:i w:val="0"/>
                <w:color w:val="804000"/>
                <w:sz w:val="18"/>
                <w:highlight w:val="yellow"/>
              </w:rPr>
              <w:t>[■ step-1 amount]</w:t>
            </w:r>
          </w:p>
        </w:tc>
      </w:tr>
      <w:tr>
        <w:tc>
          <w:tcPr>
            <w:tcW w:type="dxa" w:w="2736"/>
            <w:vAlign w:val="center"/>
          </w:tcPr>
          <w:p>
            <w:r>
              <w:rPr>
                <w:b w:val="0"/>
                <w:i w:val="0"/>
                <w:color w:val="804000"/>
                <w:sz w:val="18"/>
                <w:highlight w:val="yellow"/>
              </w:rPr>
              <w:t>[■ step-2 years]</w:t>
            </w:r>
          </w:p>
        </w:tc>
        <w:tc>
          <w:tcPr>
            <w:tcW w:type="dxa" w:w="3312"/>
            <w:vAlign w:val="center"/>
          </w:tcPr>
          <w:p>
            <w:r>
              <w:rPr>
                <w:b w:val="0"/>
                <w:i w:val="0"/>
                <w:sz w:val="18"/>
              </w:rPr>
              <w:t>Second step</w:t>
            </w:r>
          </w:p>
        </w:tc>
        <w:tc>
          <w:tcPr>
            <w:tcW w:type="dxa" w:w="3312"/>
            <w:vAlign w:val="center"/>
          </w:tcPr>
          <w:p>
            <w:r>
              <w:rPr>
                <w:b w:val="0"/>
                <w:i w:val="0"/>
                <w:color w:val="804000"/>
                <w:sz w:val="18"/>
                <w:highlight w:val="yellow"/>
              </w:rPr>
              <w:t>[■ step-2 amount]</w:t>
            </w:r>
          </w:p>
        </w:tc>
      </w:tr>
      <w:tr>
        <w:tc>
          <w:tcPr>
            <w:tcW w:type="dxa" w:w="2736"/>
            <w:shd w:val="clear" w:color="auto" w:fill="F2F2F2"/>
            <w:vAlign w:val="center"/>
          </w:tcPr>
          <w:p>
            <w:r>
              <w:rPr>
                <w:b w:val="0"/>
                <w:i w:val="0"/>
                <w:color w:val="804000"/>
                <w:sz w:val="18"/>
                <w:highlight w:val="yellow"/>
              </w:rPr>
              <w:t>[■ step-3 years]</w:t>
            </w:r>
          </w:p>
        </w:tc>
        <w:tc>
          <w:tcPr>
            <w:tcW w:type="dxa" w:w="3312"/>
            <w:shd w:val="clear" w:color="auto" w:fill="F2F2F2"/>
            <w:vAlign w:val="center"/>
          </w:tcPr>
          <w:p>
            <w:r>
              <w:rPr>
                <w:b w:val="0"/>
                <w:i w:val="0"/>
                <w:sz w:val="18"/>
              </w:rPr>
              <w:t>Stabilized step</w:t>
            </w:r>
          </w:p>
        </w:tc>
        <w:tc>
          <w:tcPr>
            <w:tcW w:type="dxa" w:w="3312"/>
            <w:shd w:val="clear" w:color="auto" w:fill="F2F2F2"/>
            <w:vAlign w:val="center"/>
          </w:tcPr>
          <w:p>
            <w:r>
              <w:rPr>
                <w:b w:val="0"/>
                <w:i w:val="0"/>
                <w:color w:val="804000"/>
                <w:sz w:val="18"/>
                <w:highlight w:val="yellow"/>
              </w:rPr>
              <w:t>[■ stabilized amount]</w:t>
            </w:r>
          </w:p>
        </w:tc>
      </w:tr>
    </w:tbl>
    <w:p>
      <w:pPr>
        <w:pStyle w:val="Heading2"/>
        <w:spacing w:before="160" w:after="60"/>
      </w:pPr>
      <w:r>
        <w:rPr>
          <w:rFonts w:ascii="Calibri" w:hAnsi="Calibri"/>
          <w:b/>
          <w:color w:val="000000"/>
          <w:sz w:val="22"/>
        </w:rPr>
        <w:t>3.8  Recommendation — Option D (Hybrid)</w:t>
      </w:r>
    </w:p>
    <w:p>
      <w:r>
        <w:rPr>
          <w:b w:val="0"/>
          <w:i w:val="0"/>
        </w:rPr>
        <w:t>RIVR Tech recommends Option D — Hybrid (Fixed Base plus Revenue Share). Option D is recommended because it:</w:t>
      </w:r>
    </w:p>
    <w:p>
      <w:pPr>
        <w:pStyle w:val="ListNumber"/>
      </w:pPr>
      <w:r>
        <w:rPr>
          <w:b w:val="0"/>
          <w:i w:val="0"/>
        </w:rPr>
        <w:t>gives the Tribe a certain, budgetable floor (the fixed base) that is owed regardless of operating results, addressing the Tribe’s need for reliable cash — the strength of Option A;</w:t>
      </w:r>
    </w:p>
    <w:p>
      <w:pPr>
        <w:pStyle w:val="ListNumber"/>
      </w:pPr>
      <w:r>
        <w:rPr>
          <w:b w:val="0"/>
          <w:i w:val="0"/>
        </w:rPr>
        <w:t>preserves genuine upside for the Tribe through the revenue-share layer, so that if take rates or ARPU exceed plan the Tribe participates — the strength of Option B;</w:t>
      </w:r>
    </w:p>
    <w:p>
      <w:pPr>
        <w:pStyle w:val="ListNumber"/>
      </w:pPr>
      <w:r>
        <w:rPr>
          <w:b w:val="0"/>
          <w:i w:val="0"/>
        </w:rPr>
        <w:t>uses Gross Revenue (not AOCF) for the variable layer, so the variable payment is tamper-resistant and simple to audit, avoiding the expense-allocation and overhead disputes that make Option C harder to administer;</w:t>
      </w:r>
    </w:p>
    <w:p>
      <w:pPr>
        <w:pStyle w:val="ListNumber"/>
      </w:pPr>
      <w:r>
        <w:rPr>
          <w:b w:val="0"/>
          <w:i w:val="0"/>
        </w:rPr>
        <w:t>sets the fixed base conservatively and places the revenue share above a threshold, which protects RIVR Tech’s fragile early-year cash flow better than a pure top-line share (Option B) while still delivering more early certainty to the Tribe than Option E’s back-loaded holiday; and</w:t>
      </w:r>
    </w:p>
    <w:p>
      <w:pPr>
        <w:pStyle w:val="ListNumber"/>
      </w:pPr>
      <w:r>
        <w:rPr>
          <w:b w:val="0"/>
          <w:i w:val="0"/>
        </w:rPr>
        <w:t>maps cleanly to program-income tracking, because both the fixed base and the revenue-share layer are computed from clearly defined, auditable revenue rather than from a negotiated net-cash-flow figure.</w:t>
      </w:r>
    </w:p>
    <w:p>
      <w:r>
        <w:rPr>
          <w:b w:val="0"/>
          <w:i w:val="0"/>
        </w:rPr>
        <w:t>Option D should be selected only after the fixed base, revenue-share percentage, and threshold are calibrated in the Financial Model so that the blended payment is affordable across the ramp yet delivers a fair return to the Tribe over the 30-year IRU term.</w:t>
      </w:r>
    </w:p>
    <w:p>
      <w:pPr>
        <w:ind w:left="504"/>
      </w:pPr>
      <w:r>
        <w:rPr>
          <w:b/>
          <w:color w:val="C00000"/>
        </w:rPr>
        <w:t xml:space="preserve">[BUSINESS DECISION REQUIRED]  </w:t>
      </w:r>
      <w:r>
        <w:rPr>
          <w:i/>
          <w:color w:val="595959"/>
        </w:rPr>
        <w:t>Final selection among Options A–E, and calibration of Option D’s base, percentage, and threshold, are business decisions for the Tribe and RIVR Tech, to be confirmed against the Financial Model and grant counsel’s program-income guidance.</w:t>
      </w:r>
    </w:p>
    <w:p>
      <w:pPr>
        <w:pStyle w:val="Heading1"/>
        <w:spacing w:before="240" w:after="120"/>
      </w:pPr>
      <w:r>
        <w:rPr>
          <w:rFonts w:ascii="Calibri" w:hAnsi="Calibri"/>
          <w:b/>
          <w:color w:val="1F3864"/>
          <w:sz w:val="26"/>
        </w:rPr>
        <w:t>ARTICLE 4.  FINANCIAL ADMINISTRATION, CONTROLS, AND PROGRAM INCOME</w:t>
      </w:r>
    </w:p>
    <w:p>
      <w:r>
        <w:rPr>
          <w:b w:val="0"/>
          <w:i w:val="0"/>
        </w:rPr>
        <w:t>The following provisions apply to whichever payment structure the Parties select under Article 3.</w:t>
      </w:r>
    </w:p>
    <w:p>
      <w:pPr>
        <w:pStyle w:val="Heading2"/>
        <w:spacing w:before="160" w:after="60"/>
      </w:pPr>
      <w:r>
        <w:rPr>
          <w:rFonts w:ascii="Calibri" w:hAnsi="Calibri"/>
          <w:b/>
          <w:color w:val="000000"/>
          <w:sz w:val="22"/>
        </w:rPr>
        <w:t>4.1  Payment Timing</w:t>
      </w:r>
    </w:p>
    <w:p>
      <w:r>
        <w:rPr>
          <w:b w:val="0"/>
          <w:i w:val="0"/>
        </w:rPr>
        <w:t xml:space="preserve">Payments accrue on a </w:t>
      </w:r>
      <w:r>
        <w:rPr>
          <w:b w:val="0"/>
          <w:i w:val="0"/>
          <w:color w:val="804000"/>
          <w:highlight w:val="yellow"/>
        </w:rPr>
        <w:t>[■ monthly / quarterly]</w:t>
      </w:r>
      <w:r>
        <w:rPr>
          <w:b w:val="0"/>
          <w:i w:val="0"/>
        </w:rPr>
        <w:t xml:space="preserve"> basis and are due within </w:t>
      </w:r>
      <w:r>
        <w:rPr>
          <w:b w:val="0"/>
          <w:i w:val="0"/>
          <w:color w:val="804000"/>
          <w:highlight w:val="yellow"/>
        </w:rPr>
        <w:t>[■ e.g., thirty (30)]</w:t>
      </w:r>
      <w:r>
        <w:rPr>
          <w:b w:val="0"/>
          <w:i w:val="0"/>
        </w:rPr>
        <w:t xml:space="preserve"> days after the end of each period, accompanied by a statement showing the computation (Gross Revenue, Excluded Revenue, any expense and reserve deductions applicable to the selected structure, and the resulting payment). An annual true-up payment or credit is made following the reconciliation under Section 4.2. Late payments accrue interest at </w:t>
      </w:r>
      <w:r>
        <w:rPr>
          <w:b w:val="0"/>
          <w:i w:val="0"/>
          <w:color w:val="804000"/>
          <w:highlight w:val="yellow"/>
        </w:rPr>
        <w:t>[■ interest rate, e.g., the lesser of 1.5%/month or the maximum lawful rate]</w:t>
      </w:r>
      <w:r>
        <w:rPr>
          <w:b w:val="0"/>
          <w:i w:val="0"/>
        </w:rPr>
        <w:t>.</w:t>
      </w:r>
    </w:p>
    <w:p>
      <w:pPr>
        <w:pStyle w:val="Heading2"/>
        <w:spacing w:before="160" w:after="60"/>
      </w:pPr>
      <w:r>
        <w:rPr>
          <w:rFonts w:ascii="Calibri" w:hAnsi="Calibri"/>
          <w:b/>
          <w:color w:val="000000"/>
          <w:sz w:val="22"/>
        </w:rPr>
        <w:t>4.2  Reconciliation</w:t>
      </w:r>
    </w:p>
    <w:p>
      <w:r>
        <w:rPr>
          <w:b w:val="0"/>
          <w:i w:val="0"/>
        </w:rPr>
        <w:t>Within ninety (90) days after the end of each contract year, RIVR Tech shall deliver an annual reconciliation statement that recomputes Gross Revenue, Excluded Revenue, Operating Expenses, AOCF (if applicable), the reserve, and the payment for the year, and reconciles them to the audited or reviewed financial statements and to the Financial Model. Any underpayment is paid, and any overpayment is credited, within thirty (30) days of the reconciliation, subject to the underpayment remedies in Section 4.6.</w:t>
      </w:r>
    </w:p>
    <w:p>
      <w:pPr>
        <w:pStyle w:val="Heading2"/>
        <w:spacing w:before="160" w:after="60"/>
      </w:pPr>
      <w:r>
        <w:rPr>
          <w:rFonts w:ascii="Calibri" w:hAnsi="Calibri"/>
          <w:b/>
          <w:color w:val="000000"/>
          <w:sz w:val="22"/>
        </w:rPr>
        <w:t>4.3  Financial Statements</w:t>
      </w:r>
    </w:p>
    <w:p>
      <w:r>
        <w:rPr>
          <w:b w:val="0"/>
          <w:i w:val="0"/>
        </w:rPr>
        <w:t xml:space="preserve">RIVR Tech shall provide the Tribe: (a) unaudited quarterly financial statements and a Network operating report within </w:t>
      </w:r>
      <w:r>
        <w:rPr>
          <w:b w:val="0"/>
          <w:i w:val="0"/>
          <w:color w:val="804000"/>
          <w:highlight w:val="yellow"/>
        </w:rPr>
        <w:t>[■ e.g., forty-five (45)]</w:t>
      </w:r>
      <w:r>
        <w:rPr>
          <w:b w:val="0"/>
          <w:i w:val="0"/>
        </w:rPr>
        <w:t xml:space="preserve"> days after each quarter; and (b) annual financial statements, </w:t>
      </w:r>
      <w:r>
        <w:rPr>
          <w:b w:val="0"/>
          <w:i w:val="0"/>
          <w:color w:val="804000"/>
          <w:highlight w:val="yellow"/>
        </w:rPr>
        <w:t>[■ audited or reviewed]</w:t>
      </w:r>
      <w:r>
        <w:rPr>
          <w:b w:val="0"/>
          <w:i w:val="0"/>
        </w:rPr>
        <w:t xml:space="preserve"> by an independent CPA, within </w:t>
      </w:r>
      <w:r>
        <w:rPr>
          <w:b w:val="0"/>
          <w:i w:val="0"/>
          <w:color w:val="804000"/>
          <w:highlight w:val="yellow"/>
        </w:rPr>
        <w:t>[■ e.g., one hundred twenty (120)]</w:t>
      </w:r>
      <w:r>
        <w:rPr>
          <w:b w:val="0"/>
          <w:i w:val="0"/>
        </w:rPr>
        <w:t xml:space="preserve"> days after each fiscal year, in each case segmenting Network revenue and expenses sufficiently to verify the payment computation.</w:t>
      </w:r>
    </w:p>
    <w:p>
      <w:pPr>
        <w:pStyle w:val="Heading2"/>
        <w:spacing w:before="160" w:after="60"/>
      </w:pPr>
      <w:r>
        <w:rPr>
          <w:rFonts w:ascii="Calibri" w:hAnsi="Calibri"/>
          <w:b/>
          <w:color w:val="000000"/>
          <w:sz w:val="22"/>
        </w:rPr>
        <w:t>4.4  Books and Records</w:t>
      </w:r>
    </w:p>
    <w:p>
      <w:r>
        <w:rPr>
          <w:b w:val="0"/>
          <w:i w:val="0"/>
        </w:rPr>
        <w:t>RIVR Tech shall keep complete and accurate books and records of all Gross Revenue, Excluded Revenue, Operating Expenses, Capital Expenses, Shared-Expense allocations, Related-Party Charges, Corporate Overhead allocations, reserves, and payments, in accordance with GAAP, consistently applied, and shall retain them for not less than 3 years (or longer if required by the Award or applicable law — see the Grant Compliance Addendum). Records must be sufficient to permit the Tribe, its auditors, and federal awarding-agency and oversight officials to verify every figure in a payment computation.</w:t>
      </w:r>
    </w:p>
    <w:p>
      <w:pPr>
        <w:pStyle w:val="Heading2"/>
        <w:spacing w:before="160" w:after="60"/>
      </w:pPr>
      <w:r>
        <w:rPr>
          <w:rFonts w:ascii="Calibri" w:hAnsi="Calibri"/>
          <w:b/>
          <w:color w:val="000000"/>
          <w:sz w:val="22"/>
        </w:rPr>
        <w:t>4.5  Audit Rights</w:t>
      </w:r>
    </w:p>
    <w:p>
      <w:r>
        <w:rPr>
          <w:b w:val="0"/>
          <w:i w:val="0"/>
        </w:rPr>
        <w:t xml:space="preserve">The Tribe (and its designated independent auditor) may, on not less than 10 business days’ written notice and not more than </w:t>
      </w:r>
      <w:r>
        <w:rPr>
          <w:b w:val="0"/>
          <w:i w:val="0"/>
          <w:color w:val="804000"/>
          <w:highlight w:val="yellow"/>
        </w:rPr>
        <w:t>[■ e.g., once]</w:t>
      </w:r>
      <w:r>
        <w:rPr>
          <w:b w:val="0"/>
          <w:i w:val="0"/>
        </w:rPr>
        <w:t xml:space="preserve"> per contract year (and more often on reasonable suspicion of underpayment or upon a federal audit finding), examine and copy RIVR Tech’s books and records relating to the payment computation, during normal business hours. This audit right is in addition to, and does not limit, the federal audit-access rights described in the Grant Compliance Addendum.</w:t>
      </w:r>
    </w:p>
    <w:p>
      <w:pPr>
        <w:pStyle w:val="Heading2"/>
        <w:spacing w:before="160" w:after="60"/>
      </w:pPr>
      <w:r>
        <w:rPr>
          <w:rFonts w:ascii="Calibri" w:hAnsi="Calibri"/>
          <w:b/>
          <w:color w:val="000000"/>
          <w:sz w:val="22"/>
        </w:rPr>
        <w:t>4.6  Underpayment Remedies</w:t>
      </w:r>
    </w:p>
    <w:p>
      <w:r>
        <w:rPr>
          <w:b w:val="0"/>
          <w:i w:val="0"/>
        </w:rPr>
        <w:t xml:space="preserve">If an audit or reconciliation determines that RIVR Tech underpaid, RIVR Tech shall pay the shortfall plus interest at </w:t>
      </w:r>
      <w:r>
        <w:rPr>
          <w:b w:val="0"/>
          <w:i w:val="0"/>
          <w:color w:val="804000"/>
          <w:highlight w:val="yellow"/>
        </w:rPr>
        <w:t>[■ interest rate, e.g., 1.5% per month]</w:t>
      </w:r>
      <w:r>
        <w:rPr>
          <w:b w:val="0"/>
          <w:i w:val="0"/>
        </w:rPr>
        <w:t xml:space="preserve"> from the date each underpaid amount was due. If the underpayment for the audited period exceeds </w:t>
      </w:r>
      <w:r>
        <w:rPr>
          <w:b w:val="0"/>
          <w:i w:val="0"/>
          <w:color w:val="804000"/>
          <w:highlight w:val="yellow"/>
        </w:rPr>
        <w:t>[■ audit-cost-shift threshold, e.g., the greater of 5% of amounts due or $25,000]</w:t>
      </w:r>
      <w:r>
        <w:rPr>
          <w:b w:val="0"/>
          <w:i w:val="0"/>
        </w:rPr>
        <w:t>, RIVR Tech shall also reimburse the Tribe’s reasonable audit costs. Repeated or willful underpayment is an event of default under the Agreement.</w:t>
      </w:r>
    </w:p>
    <w:p>
      <w:pPr>
        <w:pStyle w:val="Heading2"/>
        <w:spacing w:before="160" w:after="60"/>
      </w:pPr>
      <w:r>
        <w:rPr>
          <w:rFonts w:ascii="Calibri" w:hAnsi="Calibri"/>
          <w:b/>
          <w:color w:val="000000"/>
          <w:sz w:val="22"/>
        </w:rPr>
        <w:t>4.7  Capital Replacement Reserve</w:t>
      </w:r>
    </w:p>
    <w:p>
      <w:r>
        <w:rPr>
          <w:b w:val="0"/>
          <w:i w:val="0"/>
        </w:rPr>
        <w:t xml:space="preserve">RIVR Tech shall fund and maintain a capital-replacement reserve for the Tribal Assets by depositing </w:t>
      </w:r>
      <w:r>
        <w:rPr>
          <w:b w:val="0"/>
          <w:i w:val="0"/>
          <w:color w:val="804000"/>
          <w:highlight w:val="yellow"/>
        </w:rPr>
        <w:t>[■ reserve funding %, e.g., 2–4% of Network Gross Revenue]</w:t>
      </w:r>
      <w:r>
        <w:rPr>
          <w:b w:val="0"/>
          <w:i w:val="0"/>
        </w:rPr>
        <w:t xml:space="preserve"> of Network Gross Revenue each period into a segregated, Tribe-visible reserve account, to fund lifecycle replacement of electronics, fiber, and equipment so that the Tribal Assets are returned to the Tribe at the end of the IRU term in good operating condition. The reserve is a Network cost for AOCF purposes (Section 2.13) but is not otherwise deducted from Gross Revenue in Options B or D. Reserve funding, use, and reporting shall be documented in the Financial Model.</w:t>
      </w:r>
    </w:p>
    <w:p>
      <w:pPr>
        <w:ind w:left="504"/>
      </w:pPr>
      <w:r>
        <w:rPr>
          <w:b/>
          <w:color w:val="C00000"/>
        </w:rPr>
        <w:t xml:space="preserve">[BUSINESS DECISION REQUIRED]  </w:t>
      </w:r>
      <w:r>
        <w:rPr>
          <w:i/>
          <w:color w:val="595959"/>
        </w:rPr>
        <w:t>Set the reserve funding rate and the conditions for drawing on the reserve; coordinate with the O&amp;M Agreement and end-of-term hand-back condition standard.</w:t>
      </w:r>
    </w:p>
    <w:p>
      <w:pPr>
        <w:pStyle w:val="Heading2"/>
        <w:spacing w:before="160" w:after="60"/>
      </w:pPr>
      <w:r>
        <w:rPr>
          <w:rFonts w:ascii="Calibri" w:hAnsi="Calibri"/>
          <w:b/>
          <w:color w:val="000000"/>
          <w:sz w:val="22"/>
        </w:rPr>
        <w:t>4.8  Treatment of Future Grants</w:t>
      </w:r>
    </w:p>
    <w:p>
      <w:r>
        <w:rPr>
          <w:b w:val="0"/>
          <w:i w:val="0"/>
        </w:rPr>
        <w:t>Any future grant, subsidy, or contribution-in-aid-of-construction obtained for the Network (whether by the Tribe or, with the Tribe’s consent, by RIVR Tech) is a capital source and Excluded Revenue under Section 2.6(a); it is never Gross Revenue and never enters any payment base. Future grants may, however, generate program income and may carry their own federal or state conditions, which control over this Schedule to the extent of any conflict. Neither Party may pursue a future grant for the Network in a manner that would duplicate funding, jeopardize the TBCP Award, or impair the Tribe’s title to or Federal Interest in the Tribal Assets.</w:t>
      </w:r>
    </w:p>
    <w:p>
      <w:pPr>
        <w:ind w:left="504"/>
      </w:pPr>
      <w:r>
        <w:rPr>
          <w:b/>
          <w:color w:val="7F007F"/>
        </w:rPr>
        <w:t xml:space="preserve">[GRANT COMPLIANCE REVIEW REQUIRED]  </w:t>
      </w:r>
      <w:r>
        <w:rPr>
          <w:i/>
          <w:color w:val="595959"/>
        </w:rPr>
        <w:t>Any additional federal award over the same assets requires a duplication-of-funding review and may change program-income and disposition treatment.</w:t>
      </w:r>
    </w:p>
    <w:p>
      <w:pPr>
        <w:pStyle w:val="Heading2"/>
        <w:spacing w:before="160" w:after="60"/>
      </w:pPr>
      <w:r>
        <w:rPr>
          <w:rFonts w:ascii="Calibri" w:hAnsi="Calibri"/>
          <w:b/>
          <w:color w:val="000000"/>
          <w:sz w:val="22"/>
        </w:rPr>
        <w:t>4.9  Program Income — Application to Payments</w:t>
      </w:r>
    </w:p>
    <w:p>
      <w:r>
        <w:rPr>
          <w:b w:val="0"/>
          <w:i w:val="0"/>
        </w:rPr>
        <w:t>To the extent revenue generated by the Tribal Assets constitutes Program Income under 2 CFR 200.307 (Program income), the Tribe’s share of that revenue (however computed under the selected structure) must be identified, accounted for, and applied in accordance with the method specified or approved by NTIA in the Award. The payment mechanics in this Schedule are structured so that the Tribe can trace and report program income; they do not, and cannot, override the Award’s program-income requirements, which control. See Article 5 of the Grant Compliance Addendum.</w:t>
      </w:r>
    </w:p>
    <w:p>
      <w:pPr>
        <w:ind w:left="504"/>
      </w:pPr>
      <w:r>
        <w:rPr>
          <w:b/>
          <w:color w:val="7F007F"/>
        </w:rPr>
        <w:t xml:space="preserve">[GRANT COMPLIANCE REVIEW REQUIRED]  </w:t>
      </w:r>
      <w:r>
        <w:rPr>
          <w:i/>
          <w:color w:val="595959"/>
        </w:rPr>
        <w:t>Grant counsel must confirm the program-income method and the treatment of the Tribe’s revenue share before any payment structure is executed.</w:t>
      </w:r>
    </w:p>
    <w:p>
      <w:pPr>
        <w:pStyle w:val="Heading1"/>
        <w:spacing w:before="240" w:after="120"/>
      </w:pPr>
      <w:r>
        <w:rPr>
          <w:rFonts w:ascii="Calibri" w:hAnsi="Calibri"/>
          <w:b/>
          <w:color w:val="1F3864"/>
          <w:sz w:val="26"/>
        </w:rPr>
        <w:t>ARTICLE 5.  INTERPRETATION AND ORDER OF PRECEDENCE</w:t>
      </w:r>
    </w:p>
    <w:p>
      <w:pPr>
        <w:pStyle w:val="Heading2"/>
        <w:spacing w:before="160" w:after="60"/>
      </w:pPr>
      <w:r>
        <w:rPr>
          <w:rFonts w:ascii="Calibri" w:hAnsi="Calibri"/>
          <w:b/>
          <w:color w:val="000000"/>
          <w:sz w:val="22"/>
        </w:rPr>
        <w:t>5.1  Conformance to the Financial Model</w:t>
      </w:r>
    </w:p>
    <w:p>
      <w:r>
        <w:rPr>
          <w:b w:val="0"/>
          <w:i w:val="0"/>
        </w:rPr>
        <w:t>Illustrative figures in this Schedule are for explanation only. The controlling figures are those in the Financial Model as populated with final, negotiated inputs. The Parties shall update this Schedule and the Financial Model together so that they remain consistent.</w:t>
      </w:r>
    </w:p>
    <w:p>
      <w:pPr>
        <w:pStyle w:val="Heading2"/>
        <w:spacing w:before="160" w:after="60"/>
      </w:pPr>
      <w:r>
        <w:rPr>
          <w:rFonts w:ascii="Calibri" w:hAnsi="Calibri"/>
          <w:b/>
          <w:color w:val="000000"/>
          <w:sz w:val="22"/>
        </w:rPr>
        <w:t>5.2  Precedence</w:t>
      </w:r>
    </w:p>
    <w:p>
      <w:r>
        <w:rPr>
          <w:b w:val="0"/>
          <w:i w:val="0"/>
        </w:rPr>
        <w:t>In the event of a conflict between this Schedule and (a) the TBCP Award, 2 CFR Part 200 (Uniform Administrative Requirements, Cost Principles, and Audit Requirements for Federal Awards), or other federal requirements, the Award and federal requirements control; and (b) the body of the Agreement, the Agreement controls except as to the financial mechanics expressly addressed here. The Grant Compliance and Federal Interest Addendum (Deliverable 6) governs all grant-compliance questions arising under this Schedule.</w:t>
      </w:r>
    </w:p>
    <w:p/>
    <w:p>
      <w:r>
        <w:rPr>
          <w:i/>
        </w:rPr>
        <w:t>IN WITNESS WHEREOF, the Parties have caused this instrument to be executed by their duly authorized representatives as of the Effective Date.</w:t>
      </w:r>
    </w:p>
    <w:p/>
    <w:p>
      <w:r>
        <w:rPr>
          <w:b/>
          <w:color w:val="1F3864"/>
        </w:rPr>
        <w:t>Lumbee Tribe of North Carolina</w:t>
      </w:r>
    </w:p>
    <w:p>
      <w:pPr>
        <w:ind w:left="360"/>
      </w:pPr>
      <w:r>
        <w:rPr>
          <w:b/>
        </w:rPr>
        <w:t xml:space="preserve">By:  </w:t>
      </w:r>
      <w:r>
        <w:rPr>
          <w:b w:val="0"/>
          <w:i w:val="0"/>
        </w:rPr>
        <w:t>____________________________________</w:t>
      </w:r>
    </w:p>
    <w:p>
      <w:pPr>
        <w:ind w:left="360"/>
      </w:pPr>
      <w:r>
        <w:rPr>
          <w:b/>
        </w:rPr>
        <w:t xml:space="preserve">Name:  </w:t>
      </w:r>
      <w:r>
        <w:rPr>
          <w:b w:val="0"/>
          <w:i w:val="0"/>
          <w:color w:val="804000"/>
          <w:highlight w:val="yellow"/>
        </w:rPr>
        <w:t>[■ authorized Tribal signatory]</w:t>
      </w:r>
    </w:p>
    <w:p>
      <w:pPr>
        <w:ind w:left="360"/>
      </w:pPr>
      <w:r>
        <w:rPr>
          <w:b/>
        </w:rPr>
        <w:t xml:space="preserve">Title:  </w:t>
      </w:r>
      <w:r>
        <w:rPr>
          <w:b w:val="0"/>
          <w:i w:val="0"/>
          <w:color w:val="804000"/>
          <w:highlight w:val="yellow"/>
        </w:rPr>
        <w:t>[■ e.g., Chairman, Lumbee Tribal Council / Tribal Administrator]</w:t>
      </w:r>
    </w:p>
    <w:p>
      <w:pPr>
        <w:ind w:left="360"/>
      </w:pPr>
      <w:r>
        <w:rPr>
          <w:b/>
        </w:rPr>
        <w:t xml:space="preserve">Date:  </w:t>
      </w:r>
      <w:r>
        <w:rPr>
          <w:b w:val="0"/>
          <w:i w:val="0"/>
        </w:rPr>
        <w:t>____________________________________</w:t>
      </w:r>
    </w:p>
    <w:p/>
    <w:p>
      <w:r>
        <w:rPr>
          <w:b/>
          <w:color w:val="1F3864"/>
        </w:rPr>
        <w:t>LREMC Technologies, LLC d/b/a RIVR Tech</w:t>
      </w:r>
    </w:p>
    <w:p>
      <w:pPr>
        <w:ind w:left="360"/>
      </w:pPr>
      <w:r>
        <w:rPr>
          <w:b/>
        </w:rPr>
        <w:t xml:space="preserve">By:  </w:t>
      </w:r>
      <w:r>
        <w:rPr>
          <w:b w:val="0"/>
          <w:i w:val="0"/>
        </w:rPr>
        <w:t>____________________________________</w:t>
      </w:r>
    </w:p>
    <w:p>
      <w:pPr>
        <w:ind w:left="360"/>
      </w:pPr>
      <w:r>
        <w:rPr>
          <w:b/>
        </w:rPr>
        <w:t xml:space="preserve">Name:  </w:t>
      </w:r>
      <w:r>
        <w:rPr>
          <w:b w:val="0"/>
          <w:i w:val="0"/>
          <w:color w:val="804000"/>
          <w:highlight w:val="yellow"/>
        </w:rPr>
        <w:t>[■ authorized RIVR Tech signatory]</w:t>
      </w:r>
    </w:p>
    <w:p>
      <w:pPr>
        <w:ind w:left="360"/>
      </w:pPr>
      <w:r>
        <w:rPr>
          <w:b/>
        </w:rPr>
        <w:t xml:space="preserve">Title:  </w:t>
      </w:r>
      <w:r>
        <w:rPr>
          <w:b w:val="0"/>
          <w:i w:val="0"/>
          <w:color w:val="804000"/>
          <w:highlight w:val="yellow"/>
        </w:rPr>
        <w:t>[■ e.g., Chief Executive Officer / Manager]</w:t>
      </w:r>
    </w:p>
    <w:p>
      <w:pPr>
        <w:ind w:left="360"/>
      </w:pPr>
      <w:r>
        <w:rPr>
          <w:b/>
        </w:rPr>
        <w:t xml:space="preserve">Date:  </w:t>
      </w:r>
      <w:r>
        <w:rPr>
          <w:b w:val="0"/>
          <w:i w:val="0"/>
        </w:rPr>
        <w:t>____________________________________</w:t>
      </w:r>
    </w:p>
    <w:p/>
    <w:p>
      <w:pPr>
        <w:ind w:left="504"/>
      </w:pPr>
      <w:r>
        <w:rPr>
          <w:b/>
          <w:color w:val="0000C0"/>
        </w:rPr>
        <w:t xml:space="preserve">[ATTORNEY REVIEW REQUIRED]  </w:t>
      </w:r>
      <w:r>
        <w:rPr>
          <w:i/>
          <w:color w:val="595959"/>
        </w:rPr>
        <w:t>Confirm signatory authority for financial commitments and whether the Tribal party is the Tribe directly or a designated Tribal entity/instrumentality.</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center"/>
        <w:tab w:pos="9360" w:val="right"/>
      </w:tabs>
    </w:pPr>
    <w:r>
      <w:rPr>
        <w:color w:val="595959"/>
        <w:sz w:val="16"/>
      </w:rPr>
    </w:r>
    <w:r>
      <w:rPr>
        <w:color w:val="595959"/>
        <w:sz w:val="16"/>
      </w:rPr>
      <w:t>Draft v0.1 | July 16, 2026</w:t>
    </w:r>
    <w:r>
      <w:rPr>
        <w:color w:val="595959"/>
        <w:sz w:val="16"/>
      </w:rPr>
      <w:tab/>
    </w:r>
    <w:r>
      <w:rPr>
        <w:color w:val="595959"/>
        <w:sz w:val="16"/>
      </w:rPr>
      <w:fldChar w:fldCharType="begin"/>
      <w:instrText xml:space="preserve">PAGE</w:instrText>
      <w:fldChar w:fldCharType="separate"/>
      <w:fldChar w:fldCharType="end"/>
    </w:r>
    <w:r>
      <w:rPr>
        <w:color w:val="595959"/>
        <w:sz w:val="16"/>
      </w:rPr>
      <w:t xml:space="preserve"> of </w:t>
    </w:r>
    <w:r>
      <w:rPr>
        <w:color w:val="595959"/>
        <w:sz w:val="16"/>
      </w:rPr>
      <w:fldChar w:fldCharType="begin"/>
      <w:instrText xml:space="preserve">NUMPAGES</w:instrText>
      <w:fldChar w:fldCharType="separate"/>
      <w:fldChar w:fldCharType="end"/>
    </w:r>
    <w:r>
      <w:tab/>
    </w:r>
    <w:r>
      <w:rPr>
        <w:color w:val="595959"/>
        <w:sz w:val="16"/>
      </w:rPr>
      <w:t>Confidential —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i/>
        <w:color w:val="595959"/>
        <w:sz w:val="16"/>
      </w:rPr>
      <w:t>Financial &amp; Revenue-Sharing Schedule  —  DRAFT FOR DISCUSSION – SUBJECT TO LEGAL, GRANT AND FINANCIAL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