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DRAFT FOR DISCUSSION – SUBJECT TO LEGAL, GRANT AND FINANCIAL REVIEW</w:t>
      </w:r>
    </w:p>
    <w:p/>
    <w:p/>
    <w:p/>
    <w:p>
      <w:pPr>
        <w:jc w:val="center"/>
      </w:pPr>
      <w:r>
        <w:rPr>
          <w:b/>
          <w:color w:val="595959"/>
          <w:sz w:val="24"/>
        </w:rPr>
        <w:t>DELIVERABLE 6 · ADDENDUM 05 TO THE CORE AGREEMENTS</w:t>
      </w:r>
    </w:p>
    <w:p>
      <w:pPr>
        <w:jc w:val="center"/>
      </w:pPr>
      <w:r>
        <w:rPr>
          <w:b/>
          <w:color w:val="1F3864"/>
          <w:sz w:val="48"/>
        </w:rPr>
        <w:t>TBCP Grant Compliance and Federal Interest Addendum</w:t>
      </w:r>
    </w:p>
    <w:p>
      <w:pPr>
        <w:jc w:val="center"/>
      </w:pPr>
      <w:r>
        <w:rPr>
          <w:color w:val="595959"/>
          <w:sz w:val="28"/>
        </w:rPr>
        <w:t>Federal Award Requirements, Federal Interest, Property, Procurement, Program Income, Audit, and Disposition Controls Governing the IRU</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Draft v0.1</w:t>
      </w:r>
    </w:p>
    <w:p>
      <w:pPr>
        <w:jc w:val="center"/>
      </w:pPr>
      <w:r>
        <w:rPr>
          <w:b/>
          <w:sz w:val="20"/>
        </w:rPr>
        <w:t xml:space="preserve">Version Date:  </w:t>
      </w:r>
      <w:r>
        <w:rPr>
          <w:sz w:val="20"/>
        </w:rPr>
        <w:t>July 16,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r>
        <w:rPr>
          <w:b/>
          <w:color w:val="1F3864"/>
          <w:sz w:val="28"/>
        </w:rPr>
        <w:t>TABLE OF CONTENTS</w:t>
      </w:r>
    </w:p>
    <w:p>
      <w:r>
        <w:rPr>
          <w:i/>
          <w:color w:val="595959"/>
          <w:sz w:val="18"/>
        </w:rPr>
        <w:t>(Right-click and choose “Update Field” in Microsoft Word to populate page numbers.)</w:t>
      </w:r>
    </w:p>
    <w:p>
      <w:r>
        <w:fldChar w:fldCharType="begin"/>
        <w:instrText xml:space="preserve">TOC \o "1-3" \h \z \u</w:instrText>
        <w:fldChar w:fldCharType="separate"/>
        <w:fldChar w:fldCharType="end"/>
      </w:r>
    </w:p>
    <w:p>
      <w:r>
        <w:br w:type="page"/>
      </w:r>
    </w:p>
    <w:p>
      <w:pPr>
        <w:jc w:val="center"/>
      </w:pPr>
      <w:r>
        <w:rPr>
          <w:b/>
          <w:color w:val="C00000"/>
          <w:highlight w:val="yellow"/>
        </w:rPr>
        <w:t>DRAFT FOR DISCUSSION – SUBJECT TO LEGAL, GRANT AND FINANCIAL REVIEW</w:t>
      </w:r>
    </w:p>
    <w:p/>
    <w:p>
      <w:r>
        <w:rPr>
          <w:b w:val="0"/>
          <w:i w:val="0"/>
        </w:rPr>
        <w:t>This TBCP Grant Compliance and Federal Interest Addendum (this “Addendum”) is Addendum 05 to, and is incorporated by reference into, the Core Agreements (the “Agreement”) between Lumbee Tribe of North Carolina (the “Tribe”), or a wholly owned Tribal entity or Tribally chartered instrumentality designated by the Tribe, and LREMC Technologies, LLC d/b/a RIVR Tech (“RIVR Tech”). This Addendum is the compliance backbone of the transaction. Its purpose is to ensure that the IRU, the operation of the Tribal Assets, and every payment and activity under the Agreement remain consistent with the Tribal Broadband Connectivity Program (TBCP) Award and all applicable federal requirements. Every major provision cites the controlling authority.</w:t>
      </w:r>
    </w:p>
    <w:p/>
    <w:p>
      <w:pPr>
        <w:pStyle w:val="Heading1"/>
        <w:spacing w:before="240" w:after="120"/>
      </w:pPr>
      <w:r>
        <w:rPr>
          <w:rFonts w:ascii="Calibri" w:hAnsi="Calibri"/>
          <w:b/>
          <w:color w:val="1F3864"/>
          <w:sz w:val="26"/>
        </w:rPr>
        <w:t>ARTICLE 1.  PURPOSE, AWARD IDENTIFICATION, AND ORDER OF PRECEDENCE</w:t>
      </w:r>
    </w:p>
    <w:p>
      <w:pPr>
        <w:pStyle w:val="Heading2"/>
        <w:spacing w:before="160" w:after="60"/>
      </w:pPr>
      <w:r>
        <w:rPr>
          <w:rFonts w:ascii="Calibri" w:hAnsi="Calibri"/>
          <w:b/>
          <w:color w:val="000000"/>
          <w:sz w:val="22"/>
        </w:rPr>
        <w:t>1.1  Purpose and Incorporation</w:t>
      </w:r>
    </w:p>
    <w:p>
      <w:r>
        <w:rPr>
          <w:b w:val="0"/>
          <w:i w:val="0"/>
        </w:rPr>
        <w:t>This Addendum supplements the Agreement with the federal terms and conditions applicable to the Tribal Assets as TBCP-funded infrastructure. It applies to both Parties and, through the flow-down provisions of Article 11, to subcontractors and lower-tier providers.</w:t>
      </w:r>
    </w:p>
    <w:p>
      <w:pPr>
        <w:pStyle w:val="Heading2"/>
        <w:spacing w:before="160" w:after="60"/>
      </w:pPr>
      <w:r>
        <w:rPr>
          <w:rFonts w:ascii="Calibri" w:hAnsi="Calibri"/>
          <w:b/>
          <w:color w:val="000000"/>
          <w:sz w:val="22"/>
        </w:rPr>
        <w:t>1.2  Federal Award Identification</w:t>
      </w:r>
    </w:p>
    <w:p>
      <w:r>
        <w:rPr>
          <w:b w:val="0"/>
          <w:i w:val="0"/>
        </w:rPr>
        <w:t>The Tribal Assets are funded, in whole or in part, under the TBCP administered by the National Telecommunications and Information Administration (NTIA), pursuant to the TBCP Round 3 Notice of Funding Opportunity (NTIA, June 2026), the TBCP Round 3 Infrastructure Deployment Application Guidance (NTIA, 2026), and the executed award, including the NTIA Standard Terms and Conditions and Specific Award Conditions (collectively, the “Award”). The program is authorized by the Infrastructure Investment and Jobs Act, Pub. L. 117-58 (2021), and Consolidated Appropriations Act, 2021, Pub. L. 116-260. The Tribe is the TBCP grant RECIPIENT and the owner of the grant-funded infrastructure, and retains title thereto.</w:t>
      </w:r>
    </w:p>
    <w:p>
      <w:pPr>
        <w:pStyle w:val="Heading2"/>
        <w:spacing w:before="160" w:after="60"/>
      </w:pPr>
      <w:r>
        <w:rPr>
          <w:rFonts w:ascii="Calibri" w:hAnsi="Calibri"/>
          <w:b/>
          <w:color w:val="000000"/>
          <w:sz w:val="22"/>
        </w:rPr>
        <w:t>1.3  Lumbee Federal-Recognition Status — Eligibility Predicate</w:t>
      </w:r>
    </w:p>
    <w:p>
      <w:r>
        <w:rPr>
          <w:b w:val="0"/>
          <w:i w:val="0"/>
        </w:rPr>
        <w:t>The Tribe’s eligibility for the TBCP depends on its status under federal law. The Lumbee Act of 1956, Pub. L. 84-570, 70 Stat. 254 (federal-recognition status affecting TBCP eligibility) recognized the Lumbee people but has historically been construed to withhold the full federal-Indian benefits and services relationship, which bears directly on TBCP eligibility, the nature of any trust or Federal Interest, and the applicability of certain federal-Indian program authorities. Nothing in the Agreement or this Addendum determines that status; the Parties rely on the eligibility basis stated in the Award.</w:t>
      </w:r>
    </w:p>
    <w:p>
      <w:pPr>
        <w:ind w:left="504"/>
      </w:pPr>
      <w:r>
        <w:rPr>
          <w:b/>
          <w:color w:val="7F007F"/>
        </w:rPr>
        <w:t xml:space="preserve">[GRANT COMPLIANCE REVIEW REQUIRED]  </w:t>
      </w:r>
      <w:r>
        <w:rPr>
          <w:i/>
          <w:color w:val="595959"/>
        </w:rPr>
        <w:t>Confirm with NTIA and grant counsel the exact eligibility basis on which the Award was made, given the Lumbee Act of 1956, and whether any condition, limitation, or alternative eligibility pathway applies to this Award.</w:t>
      </w:r>
    </w:p>
    <w:p>
      <w:pPr>
        <w:ind w:left="504"/>
      </w:pPr>
      <w:r>
        <w:rPr>
          <w:b/>
          <w:color w:val="0000C0"/>
        </w:rPr>
        <w:t xml:space="preserve">[ATTORNEY REVIEW REQUIRED]  </w:t>
      </w:r>
      <w:r>
        <w:rPr>
          <w:i/>
          <w:color w:val="595959"/>
        </w:rPr>
        <w:t>Federal-recognition status affects trust relationship, jurisdiction, sovereign immunity, and the enforceability of federal-Indian program terms. Tribal and federal-Indian-law counsel must review before execution.</w:t>
      </w:r>
    </w:p>
    <w:p>
      <w:pPr>
        <w:pStyle w:val="Heading2"/>
        <w:spacing w:before="160" w:after="60"/>
      </w:pPr>
      <w:r>
        <w:rPr>
          <w:rFonts w:ascii="Calibri" w:hAnsi="Calibri"/>
          <w:b/>
          <w:color w:val="000000"/>
          <w:sz w:val="22"/>
        </w:rPr>
        <w:t>1.4  Order of Precedence — Award and 2 CFR 200 Control</w:t>
      </w:r>
    </w:p>
    <w:p>
      <w:r>
        <w:rPr>
          <w:b w:val="0"/>
          <w:i w:val="0"/>
        </w:rPr>
        <w:t>If any provision of the Agreement, this Addendum, or any commercial term conflicts with the Award, 2 CFR Part 200 (Uniform Administrative Requirements, Cost Principles, and Audit Requirements for Federal Awards), or any other applicable federal requirement, the Award and the federal requirement CONTROL, and the conflicting commercial provision is superseded to the extent of the conflict. No commercial arrangement between the Parties may waive, diminish, or defeat a federal requirement or the Federal Interest.</w:t>
      </w:r>
    </w:p>
    <w:p>
      <w:pPr>
        <w:pStyle w:val="Heading1"/>
        <w:spacing w:before="240" w:after="120"/>
      </w:pPr>
      <w:r>
        <w:rPr>
          <w:rFonts w:ascii="Calibri" w:hAnsi="Calibri"/>
          <w:b/>
          <w:color w:val="1F3864"/>
          <w:sz w:val="26"/>
        </w:rPr>
        <w:t>ARTICLE 2.  GRANT-FUNDED PROPERTY AND THE FEDERAL INTEREST</w:t>
      </w:r>
    </w:p>
    <w:p>
      <w:pPr>
        <w:pStyle w:val="Heading2"/>
        <w:spacing w:before="160" w:after="60"/>
      </w:pPr>
      <w:r>
        <w:rPr>
          <w:rFonts w:ascii="Calibri" w:hAnsi="Calibri"/>
          <w:b/>
          <w:color w:val="000000"/>
          <w:sz w:val="22"/>
        </w:rPr>
        <w:t>2.1  Grant-Funded Property</w:t>
      </w:r>
    </w:p>
    <w:p>
      <w:r>
        <w:rPr>
          <w:b w:val="0"/>
          <w:i w:val="0"/>
        </w:rPr>
        <w:t>The Tribal Assets are property acquired or improved with federal funds and are subject to the property-management standards of 2 CFR 200.313 (Equipment — use, management, and disposition) (equipment) and 2 CFR 200.311 (Real property — use, encumbrance, and disposition) (real property), as applicable to each asset class, together with 2 CFR 200.315 (Intangible property) for intangible property such as software and IRUs held by the Tribe. The Tribe shall use the Tribal Assets for the authorized TBCP purpose for the duration of the Federal Interest.</w:t>
      </w:r>
    </w:p>
    <w:p>
      <w:pPr>
        <w:pStyle w:val="Heading2"/>
        <w:spacing w:before="160" w:after="60"/>
      </w:pPr>
      <w:r>
        <w:rPr>
          <w:rFonts w:ascii="Calibri" w:hAnsi="Calibri"/>
          <w:b/>
          <w:color w:val="000000"/>
          <w:sz w:val="22"/>
        </w:rPr>
        <w:t>2.2  Federal Interest and Property Trust Relationship</w:t>
      </w:r>
    </w:p>
    <w:p>
      <w:r>
        <w:rPr>
          <w:b w:val="0"/>
          <w:i w:val="0"/>
        </w:rPr>
        <w:t>A Federal Interest exists in the Tribal Assets for so long as required by the Award. Under 2 CFR 200.316 (Property trust relationship), real property, equipment, and (as applicable) intangible property acquired or improved with federal funds are held in trust by the recipient as trustee for the beneficiaries of the program; the property must be used for the authorized purpose and may not be encumbered or disposed of except as permitted by the awarding agency. The Federal Interest runs with the Tribal Assets regardless of the IRU granted to RIVR Tech.</w:t>
      </w:r>
    </w:p>
    <w:p>
      <w:pPr>
        <w:pStyle w:val="Heading2"/>
        <w:spacing w:before="160" w:after="60"/>
      </w:pPr>
      <w:r>
        <w:rPr>
          <w:rFonts w:ascii="Calibri" w:hAnsi="Calibri"/>
          <w:b/>
          <w:color w:val="000000"/>
          <w:sz w:val="22"/>
        </w:rPr>
        <w:t>2.3  Title Retained by the Tribe</w:t>
      </w:r>
    </w:p>
    <w:p>
      <w:r>
        <w:rPr>
          <w:b w:val="0"/>
          <w:i w:val="0"/>
        </w:rPr>
        <w:t>Title to the Tribal Assets vests in and remains with the Tribe at all times. The IRU conveys a right to use capacity, not title; nothing in the Agreement transfers, or may be construed to transfer, ownership of the Tribal Assets to RIVR Tech. The clear demarcation between the Tribal Assets and the RIVR Tech Existing Network is maintained in Exhibit K.</w:t>
      </w:r>
    </w:p>
    <w:p>
      <w:pPr>
        <w:pStyle w:val="Heading2"/>
        <w:spacing w:before="160" w:after="60"/>
      </w:pPr>
      <w:r>
        <w:rPr>
          <w:rFonts w:ascii="Calibri" w:hAnsi="Calibri"/>
          <w:b/>
          <w:color w:val="000000"/>
          <w:sz w:val="22"/>
        </w:rPr>
        <w:t>2.4  Property Records and Asset Inventory</w:t>
      </w:r>
    </w:p>
    <w:p>
      <w:r>
        <w:rPr>
          <w:b w:val="0"/>
          <w:i w:val="0"/>
        </w:rPr>
        <w:t>The Tribe shall maintain property records for the Tribal Assets meeting 2 CFR 200.313 (Equipment — use, management, and disposition)(d), including a description of the property, a serial or other identification number, the source of funding (including the TBCP award identification number), who holds title, the acquisition date and cost, the federal share of the cost, location, use and condition, and ultimate disposition data. A physical inventory shall be reconciled to the records at least once every two years. The asset inventory and demarcation schedule are maintained in Exhibit K, to which this Article cross-refers.</w:t>
      </w:r>
    </w:p>
    <w:p>
      <w:pPr>
        <w:ind w:left="504"/>
      </w:pPr>
      <w:r>
        <w:rPr>
          <w:b/>
          <w:color w:val="7F007F"/>
        </w:rPr>
        <w:t xml:space="preserve">[GRANT COMPLIANCE REVIEW REQUIRED]  </w:t>
      </w:r>
      <w:r>
        <w:rPr>
          <w:i/>
          <w:color w:val="595959"/>
        </w:rPr>
        <w:t>Confirm which Party physically maintains the inventory and who bears the every-two-year reconciliation duty; the recordkeeping obligation is the recipient Tribe’s and may be delegated to RIVR Tech only by written flow-down.</w:t>
      </w:r>
    </w:p>
    <w:p>
      <w:pPr>
        <w:pStyle w:val="Heading2"/>
        <w:spacing w:before="160" w:after="60"/>
      </w:pPr>
      <w:r>
        <w:rPr>
          <w:rFonts w:ascii="Calibri" w:hAnsi="Calibri"/>
          <w:b/>
          <w:color w:val="000000"/>
          <w:sz w:val="22"/>
        </w:rPr>
        <w:t>2.5  Insurance of Grant-Funded Property</w:t>
      </w:r>
    </w:p>
    <w:p>
      <w:r>
        <w:rPr>
          <w:b w:val="0"/>
          <w:i w:val="0"/>
        </w:rPr>
        <w:t>The Tribal Assets shall be insured at least to the extent required by 2 CFR 200.310 (Insurance coverage) — equivalent insurance coverage for property acquired or improved with federal funds as is provided to other property owned by the recipient — and to the limits set out in Exhibit I of the Agreement.</w:t>
      </w:r>
    </w:p>
    <w:p>
      <w:pPr>
        <w:pStyle w:val="Heading1"/>
        <w:spacing w:before="240" w:after="120"/>
      </w:pPr>
      <w:r>
        <w:rPr>
          <w:rFonts w:ascii="Calibri" w:hAnsi="Calibri"/>
          <w:b/>
          <w:color w:val="1F3864"/>
          <w:sz w:val="26"/>
        </w:rPr>
        <w:t>ARTICLE 3.  CONTRACTOR VS. SUBRECIPIENT DETERMINATION</w:t>
      </w:r>
    </w:p>
    <w:p>
      <w:pPr>
        <w:pStyle w:val="Heading2"/>
        <w:spacing w:before="160" w:after="60"/>
      </w:pPr>
      <w:r>
        <w:rPr>
          <w:rFonts w:ascii="Calibri" w:hAnsi="Calibri"/>
          <w:b/>
          <w:color w:val="000000"/>
          <w:sz w:val="22"/>
        </w:rPr>
        <w:t>3.1  Framework</w:t>
      </w:r>
    </w:p>
    <w:p>
      <w:r>
        <w:rPr>
          <w:b w:val="0"/>
          <w:i w:val="0"/>
        </w:rPr>
        <w:t>Whether RIVR Tech is a “subrecipient” or a “contractor” (vendor) of the Tribe with respect to TBCP funds is governed by 2 CFR 200.331 (Subrecipient and contractor determinations). The determination is based on the substance of the relationship, not its label. The characterization has significant consequences: a subrecipient is subject to the full suite of federal award requirements and the Tribe must monitor it as a pass-through entity under 2 CFR 200.332 (Requirements for pass-through entities); a contractor is procured under the procurement standards (Article 4) and is generally subject only to the contract terms and specific flow-down clauses.</w:t>
      </w:r>
    </w:p>
    <w:p>
      <w:pPr>
        <w:pStyle w:val="Heading2"/>
        <w:spacing w:before="160" w:after="60"/>
      </w:pPr>
      <w:r>
        <w:rPr>
          <w:rFonts w:ascii="Calibri" w:hAnsi="Calibri"/>
          <w:b/>
          <w:color w:val="000000"/>
          <w:sz w:val="22"/>
        </w:rPr>
        <w:t>3.2  Five-Factor Analysis Applied to RIVR Tech</w:t>
      </w:r>
    </w:p>
    <w:p>
      <w:r>
        <w:rPr>
          <w:b w:val="0"/>
          <w:i w:val="0"/>
        </w:rPr>
        <w:t>The following table applies the 2 CFR 200.331 (Subrecipient and contractor determinations) characteristics to RIVR Tech’s role under the Agreement.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32"/>
            <w:shd w:val="clear" w:color="auto" w:fill="1F3864"/>
            <w:vAlign w:val="center"/>
          </w:tcPr>
          <w:p>
            <w:pPr>
              <w:jc w:val="center"/>
            </w:pPr>
            <w:r>
              <w:rPr>
                <w:b/>
                <w:color w:val="FFFFFF"/>
                <w:sz w:val="16"/>
              </w:rPr>
              <w:t>#</w:t>
            </w:r>
          </w:p>
        </w:tc>
        <w:tc>
          <w:tcPr>
            <w:tcW w:type="dxa" w:w="2232"/>
            <w:shd w:val="clear" w:color="auto" w:fill="1F3864"/>
            <w:vAlign w:val="center"/>
          </w:tcPr>
          <w:p>
            <w:pPr>
              <w:jc w:val="center"/>
            </w:pPr>
            <w:r>
              <w:rPr>
                <w:b/>
                <w:color w:val="FFFFFF"/>
                <w:sz w:val="16"/>
              </w:rPr>
              <w:t>Subrecipient characteristic (200.331(a))</w:t>
            </w:r>
          </w:p>
        </w:tc>
        <w:tc>
          <w:tcPr>
            <w:tcW w:type="dxa" w:w="2232"/>
            <w:shd w:val="clear" w:color="auto" w:fill="1F3864"/>
            <w:vAlign w:val="center"/>
          </w:tcPr>
          <w:p>
            <w:pPr>
              <w:jc w:val="center"/>
            </w:pPr>
            <w:r>
              <w:rPr>
                <w:b/>
                <w:color w:val="FFFFFF"/>
                <w:sz w:val="16"/>
              </w:rPr>
              <w:t>Contractor characteristic (200.331(b))</w:t>
            </w:r>
          </w:p>
        </w:tc>
        <w:tc>
          <w:tcPr>
            <w:tcW w:type="dxa" w:w="2808"/>
            <w:shd w:val="clear" w:color="auto" w:fill="1F3864"/>
            <w:vAlign w:val="center"/>
          </w:tcPr>
          <w:p>
            <w:pPr>
              <w:jc w:val="center"/>
            </w:pPr>
            <w:r>
              <w:rPr>
                <w:b/>
                <w:color w:val="FFFFFF"/>
                <w:sz w:val="16"/>
              </w:rPr>
              <w:t>As applied to RIVR Tech</w:t>
            </w:r>
          </w:p>
        </w:tc>
        <w:tc>
          <w:tcPr>
            <w:tcW w:type="dxa" w:w="1224"/>
            <w:shd w:val="clear" w:color="auto" w:fill="1F3864"/>
            <w:vAlign w:val="center"/>
          </w:tcPr>
          <w:p>
            <w:pPr>
              <w:jc w:val="center"/>
            </w:pPr>
            <w:r>
              <w:rPr>
                <w:b/>
                <w:color w:val="FFFFFF"/>
                <w:sz w:val="16"/>
              </w:rPr>
              <w:t>Points toward</w:t>
            </w:r>
          </w:p>
        </w:tc>
      </w:tr>
      <w:tr>
        <w:tc>
          <w:tcPr>
            <w:tcW w:type="dxa" w:w="432"/>
            <w:vAlign w:val="center"/>
          </w:tcPr>
          <w:p>
            <w:r>
              <w:rPr>
                <w:b w:val="0"/>
                <w:i w:val="0"/>
                <w:sz w:val="16"/>
              </w:rPr>
              <w:t>1</w:t>
            </w:r>
          </w:p>
        </w:tc>
        <w:tc>
          <w:tcPr>
            <w:tcW w:type="dxa" w:w="2232"/>
            <w:vAlign w:val="center"/>
          </w:tcPr>
          <w:p>
            <w:r>
              <w:rPr>
                <w:b w:val="0"/>
                <w:i w:val="0"/>
                <w:sz w:val="16"/>
              </w:rPr>
              <w:t>Determines who is eligible to receive federal assistance.</w:t>
            </w:r>
          </w:p>
        </w:tc>
        <w:tc>
          <w:tcPr>
            <w:tcW w:type="dxa" w:w="2232"/>
            <w:vAlign w:val="center"/>
          </w:tcPr>
          <w:p>
            <w:r>
              <w:rPr>
                <w:b w:val="0"/>
                <w:i w:val="0"/>
                <w:sz w:val="16"/>
              </w:rPr>
              <w:t>Provides goods and services within normal business operations.</w:t>
            </w:r>
          </w:p>
        </w:tc>
        <w:tc>
          <w:tcPr>
            <w:tcW w:type="dxa" w:w="2808"/>
            <w:vAlign w:val="center"/>
          </w:tcPr>
          <w:p>
            <w:r>
              <w:rPr>
                <w:b w:val="0"/>
                <w:i w:val="0"/>
                <w:sz w:val="16"/>
              </w:rPr>
              <w:t>RIVR Tech does not determine eligibility for federal assistance; it builds, operates, and sells services over the Network in its ordinary course.</w:t>
            </w:r>
          </w:p>
        </w:tc>
        <w:tc>
          <w:tcPr>
            <w:tcW w:type="dxa" w:w="1224"/>
            <w:vAlign w:val="center"/>
          </w:tcPr>
          <w:p>
            <w:r>
              <w:rPr>
                <w:b w:val="0"/>
                <w:i w:val="0"/>
                <w:sz w:val="16"/>
              </w:rPr>
              <w:t>Contractor</w:t>
            </w:r>
          </w:p>
        </w:tc>
      </w:tr>
      <w:tr>
        <w:tc>
          <w:tcPr>
            <w:tcW w:type="dxa" w:w="432"/>
            <w:shd w:val="clear" w:color="auto" w:fill="F2F2F2"/>
            <w:vAlign w:val="center"/>
          </w:tcPr>
          <w:p>
            <w:r>
              <w:rPr>
                <w:b w:val="0"/>
                <w:i w:val="0"/>
                <w:sz w:val="16"/>
              </w:rPr>
              <w:t>2</w:t>
            </w:r>
          </w:p>
        </w:tc>
        <w:tc>
          <w:tcPr>
            <w:tcW w:type="dxa" w:w="2232"/>
            <w:shd w:val="clear" w:color="auto" w:fill="F2F2F2"/>
            <w:vAlign w:val="center"/>
          </w:tcPr>
          <w:p>
            <w:r>
              <w:rPr>
                <w:b w:val="0"/>
                <w:i w:val="0"/>
                <w:sz w:val="16"/>
              </w:rPr>
              <w:t>Has its performance measured against whether program objectives are met.</w:t>
            </w:r>
          </w:p>
        </w:tc>
        <w:tc>
          <w:tcPr>
            <w:tcW w:type="dxa" w:w="2232"/>
            <w:shd w:val="clear" w:color="auto" w:fill="F2F2F2"/>
            <w:vAlign w:val="center"/>
          </w:tcPr>
          <w:p>
            <w:r>
              <w:rPr>
                <w:b w:val="0"/>
                <w:i w:val="0"/>
                <w:sz w:val="16"/>
              </w:rPr>
              <w:t>Provides similar goods or services to many different purchasers.</w:t>
            </w:r>
          </w:p>
        </w:tc>
        <w:tc>
          <w:tcPr>
            <w:tcW w:type="dxa" w:w="2808"/>
            <w:shd w:val="clear" w:color="auto" w:fill="F2F2F2"/>
            <w:vAlign w:val="center"/>
          </w:tcPr>
          <w:p>
            <w:r>
              <w:rPr>
                <w:b w:val="0"/>
                <w:i w:val="0"/>
                <w:sz w:val="16"/>
              </w:rPr>
              <w:t>RIVR Tech’s performance is measured against SLA/O&amp;M and commercial metrics; it offers broadband and transport to many customers, not solely this program.</w:t>
            </w:r>
          </w:p>
        </w:tc>
        <w:tc>
          <w:tcPr>
            <w:tcW w:type="dxa" w:w="1224"/>
            <w:shd w:val="clear" w:color="auto" w:fill="F2F2F2"/>
            <w:vAlign w:val="center"/>
          </w:tcPr>
          <w:p>
            <w:r>
              <w:rPr>
                <w:b w:val="0"/>
                <w:i w:val="0"/>
                <w:sz w:val="16"/>
              </w:rPr>
              <w:t>Contractor</w:t>
            </w:r>
          </w:p>
        </w:tc>
      </w:tr>
      <w:tr>
        <w:tc>
          <w:tcPr>
            <w:tcW w:type="dxa" w:w="432"/>
            <w:vAlign w:val="center"/>
          </w:tcPr>
          <w:p>
            <w:r>
              <w:rPr>
                <w:b w:val="0"/>
                <w:i w:val="0"/>
                <w:sz w:val="16"/>
              </w:rPr>
              <w:t>3</w:t>
            </w:r>
          </w:p>
        </w:tc>
        <w:tc>
          <w:tcPr>
            <w:tcW w:type="dxa" w:w="2232"/>
            <w:vAlign w:val="center"/>
          </w:tcPr>
          <w:p>
            <w:r>
              <w:rPr>
                <w:b w:val="0"/>
                <w:i w:val="0"/>
                <w:sz w:val="16"/>
              </w:rPr>
              <w:t>Has responsibility for programmatic decision-making.</w:t>
            </w:r>
          </w:p>
        </w:tc>
        <w:tc>
          <w:tcPr>
            <w:tcW w:type="dxa" w:w="2232"/>
            <w:vAlign w:val="center"/>
          </w:tcPr>
          <w:p>
            <w:r>
              <w:rPr>
                <w:b w:val="0"/>
                <w:i w:val="0"/>
                <w:sz w:val="16"/>
              </w:rPr>
              <w:t>Normally operates in a competitive environment.</w:t>
            </w:r>
          </w:p>
        </w:tc>
        <w:tc>
          <w:tcPr>
            <w:tcW w:type="dxa" w:w="2808"/>
            <w:vAlign w:val="center"/>
          </w:tcPr>
          <w:p>
            <w:r>
              <w:rPr>
                <w:b w:val="0"/>
                <w:i w:val="0"/>
                <w:sz w:val="16"/>
              </w:rPr>
              <w:t>Programmatic decisions (service area, priorities, program-income use) rest with the Tribe as recipient; RIVR Tech operates as a competitive commercial provider.</w:t>
            </w:r>
          </w:p>
        </w:tc>
        <w:tc>
          <w:tcPr>
            <w:tcW w:type="dxa" w:w="1224"/>
            <w:vAlign w:val="center"/>
          </w:tcPr>
          <w:p>
            <w:r>
              <w:rPr>
                <w:b w:val="0"/>
                <w:i w:val="0"/>
                <w:sz w:val="16"/>
              </w:rPr>
              <w:t>Contractor</w:t>
            </w:r>
          </w:p>
        </w:tc>
      </w:tr>
      <w:tr>
        <w:tc>
          <w:tcPr>
            <w:tcW w:type="dxa" w:w="432"/>
            <w:shd w:val="clear" w:color="auto" w:fill="F2F2F2"/>
            <w:vAlign w:val="center"/>
          </w:tcPr>
          <w:p>
            <w:r>
              <w:rPr>
                <w:b w:val="0"/>
                <w:i w:val="0"/>
                <w:sz w:val="16"/>
              </w:rPr>
              <w:t>4</w:t>
            </w:r>
          </w:p>
        </w:tc>
        <w:tc>
          <w:tcPr>
            <w:tcW w:type="dxa" w:w="2232"/>
            <w:shd w:val="clear" w:color="auto" w:fill="F2F2F2"/>
            <w:vAlign w:val="center"/>
          </w:tcPr>
          <w:p>
            <w:r>
              <w:rPr>
                <w:b w:val="0"/>
                <w:i w:val="0"/>
                <w:sz w:val="16"/>
              </w:rPr>
              <w:t>Is responsible for adherence to applicable federal program requirements.</w:t>
            </w:r>
          </w:p>
        </w:tc>
        <w:tc>
          <w:tcPr>
            <w:tcW w:type="dxa" w:w="2232"/>
            <w:shd w:val="clear" w:color="auto" w:fill="F2F2F2"/>
            <w:vAlign w:val="center"/>
          </w:tcPr>
          <w:p>
            <w:r>
              <w:rPr>
                <w:b w:val="0"/>
                <w:i w:val="0"/>
                <w:sz w:val="16"/>
              </w:rPr>
              <w:t>Provides goods or services that are ancillary to the operation of the federal program.</w:t>
            </w:r>
          </w:p>
        </w:tc>
        <w:tc>
          <w:tcPr>
            <w:tcW w:type="dxa" w:w="2808"/>
            <w:shd w:val="clear" w:color="auto" w:fill="F2F2F2"/>
            <w:vAlign w:val="center"/>
          </w:tcPr>
          <w:p>
            <w:r>
              <w:rPr>
                <w:b w:val="0"/>
                <w:i w:val="0"/>
                <w:sz w:val="16"/>
              </w:rPr>
              <w:t>The Tribe, as recipient, is responsible for program compliance; RIVR Tech’s operating role is ancillary and is bound only through flow-down terms.</w:t>
            </w:r>
          </w:p>
        </w:tc>
        <w:tc>
          <w:tcPr>
            <w:tcW w:type="dxa" w:w="1224"/>
            <w:shd w:val="clear" w:color="auto" w:fill="F2F2F2"/>
            <w:vAlign w:val="center"/>
          </w:tcPr>
          <w:p>
            <w:r>
              <w:rPr>
                <w:b w:val="0"/>
                <w:i w:val="0"/>
                <w:sz w:val="16"/>
              </w:rPr>
              <w:t>Contractor</w:t>
            </w:r>
          </w:p>
        </w:tc>
      </w:tr>
      <w:tr>
        <w:tc>
          <w:tcPr>
            <w:tcW w:type="dxa" w:w="432"/>
            <w:vAlign w:val="center"/>
          </w:tcPr>
          <w:p>
            <w:r>
              <w:rPr>
                <w:b w:val="0"/>
                <w:i w:val="0"/>
                <w:sz w:val="16"/>
              </w:rPr>
              <w:t>5</w:t>
            </w:r>
          </w:p>
        </w:tc>
        <w:tc>
          <w:tcPr>
            <w:tcW w:type="dxa" w:w="2232"/>
            <w:vAlign w:val="center"/>
          </w:tcPr>
          <w:p>
            <w:r>
              <w:rPr>
                <w:b w:val="0"/>
                <w:i w:val="0"/>
                <w:sz w:val="16"/>
              </w:rPr>
              <w:t>Uses the federal funds to carry out a program for a public purpose, not to provide goods or services for the pass-through entity’s benefit.</w:t>
            </w:r>
          </w:p>
        </w:tc>
        <w:tc>
          <w:tcPr>
            <w:tcW w:type="dxa" w:w="2232"/>
            <w:vAlign w:val="center"/>
          </w:tcPr>
          <w:p>
            <w:r>
              <w:rPr>
                <w:b w:val="0"/>
                <w:i w:val="0"/>
                <w:sz w:val="16"/>
              </w:rPr>
              <w:t>Is not subject to the compliance requirements of the federal program as a result of the agreement (though similar requirements may apply for other reasons).</w:t>
            </w:r>
          </w:p>
        </w:tc>
        <w:tc>
          <w:tcPr>
            <w:tcW w:type="dxa" w:w="2808"/>
            <w:vAlign w:val="center"/>
          </w:tcPr>
          <w:p>
            <w:r>
              <w:rPr>
                <w:b w:val="0"/>
                <w:i w:val="0"/>
                <w:sz w:val="16"/>
              </w:rPr>
              <w:t>The Tribe carries out the public broadband program; RIVR Tech provides operating services under the IRU. Note the Tribe does receive the benefit of the operating services — a factor to weigh, though not dispositive.</w:t>
            </w:r>
          </w:p>
        </w:tc>
        <w:tc>
          <w:tcPr>
            <w:tcW w:type="dxa" w:w="1224"/>
            <w:vAlign w:val="center"/>
          </w:tcPr>
          <w:p>
            <w:r>
              <w:rPr>
                <w:b w:val="0"/>
                <w:i w:val="0"/>
                <w:sz w:val="16"/>
              </w:rPr>
              <w:t>Mixed → Contractor (weight)</w:t>
            </w:r>
          </w:p>
        </w:tc>
      </w:tr>
    </w:tbl>
    <w:p>
      <w:pPr>
        <w:pStyle w:val="Heading2"/>
        <w:spacing w:before="160" w:after="60"/>
      </w:pPr>
      <w:r>
        <w:rPr>
          <w:rFonts w:ascii="Calibri" w:hAnsi="Calibri"/>
          <w:b/>
          <w:color w:val="000000"/>
          <w:sz w:val="22"/>
        </w:rPr>
        <w:t>3.3  Recommended Characterization</w:t>
      </w:r>
    </w:p>
    <w:p>
      <w:r>
        <w:rPr>
          <w:b w:val="0"/>
          <w:i w:val="0"/>
        </w:rPr>
        <w:t>On balance, RIVR Tech exhibits predominantly CONTRACTOR (vendor) characteristics under 2 CFR 200.331 (Subrecipient and contractor determinations): it provides operating and construction services within its normal business operations, to many purchasers, in a competitive environment, and it does not determine assistance eligibility or hold programmatic responsibility. The recommended characterization is therefore CONTRACTOR / vendor, procured under the procurement standards of Article 4. This characterization must not be adopted silently or by default.</w:t>
      </w:r>
    </w:p>
    <w:p>
      <w:pPr>
        <w:ind w:left="504"/>
      </w:pPr>
      <w:r>
        <w:rPr>
          <w:b/>
          <w:color w:val="7F007F"/>
        </w:rPr>
        <w:t xml:space="preserve">[GRANT COMPLIANCE REVIEW REQUIRED]  </w:t>
      </w:r>
      <w:r>
        <w:rPr>
          <w:i/>
          <w:color w:val="595959"/>
        </w:rPr>
        <w:t>The contractor-vs-subrecipient determination must be confirmed in writing by grant counsel and, if required, NTIA. Do not proceed on the contractor characterization without that confirmation.</w:t>
      </w:r>
    </w:p>
    <w:p>
      <w:r>
        <w:rPr>
          <w:b w:val="0"/>
          <w:i w:val="0"/>
        </w:rPr>
        <w:t>Implications either way. If RIVR Tech is a CONTRACTOR: the Tribe must have procured it consistent with 2 CFR 200.317–200.327 (Procurement standards), and only specific federal clauses flow down (Article 11). If RIVR Tech is instead a SUBRECIPIENT: the Tribe becomes a pass-through entity under 2 CFR 200.332 (Requirements for pass-through entities) and must, among other things, provide a subaward with required data elements, conduct a risk assessment, impose subrecipient monitoring, verify audit status, and flow down the full applicable requirements. The two paths carry materially different monitoring, audit, and documentation burdens; the choice must be deliberate and documented.</w:t>
      </w:r>
    </w:p>
    <w:p>
      <w:pPr>
        <w:pStyle w:val="Heading1"/>
        <w:spacing w:before="240" w:after="120"/>
      </w:pPr>
      <w:r>
        <w:rPr>
          <w:rFonts w:ascii="Calibri" w:hAnsi="Calibri"/>
          <w:b/>
          <w:color w:val="1F3864"/>
          <w:sz w:val="26"/>
        </w:rPr>
        <w:t>ARTICLE 4.  PROCUREMENT STANDARDS</w:t>
      </w:r>
    </w:p>
    <w:p>
      <w:pPr>
        <w:pStyle w:val="Heading2"/>
        <w:spacing w:before="160" w:after="60"/>
      </w:pPr>
      <w:r>
        <w:rPr>
          <w:rFonts w:ascii="Calibri" w:hAnsi="Calibri"/>
          <w:b/>
          <w:color w:val="000000"/>
          <w:sz w:val="22"/>
        </w:rPr>
        <w:t>4.1  Applicability</w:t>
      </w:r>
    </w:p>
    <w:p>
      <w:r>
        <w:rPr>
          <w:b w:val="0"/>
          <w:i w:val="0"/>
        </w:rPr>
        <w:t>To the extent the Tribe uses TBCP funds to procure property or services (including RIVR Tech’s services, if characterized as a contractor), the procurement must comply with 2 CFR 200.317–200.327 (Procurement standards).</w:t>
      </w:r>
    </w:p>
    <w:p>
      <w:pPr>
        <w:pStyle w:val="Heading2"/>
        <w:spacing w:before="160" w:after="60"/>
      </w:pPr>
      <w:r>
        <w:rPr>
          <w:rFonts w:ascii="Calibri" w:hAnsi="Calibri"/>
          <w:b/>
          <w:color w:val="000000"/>
          <w:sz w:val="22"/>
        </w:rPr>
        <w:t>4.2  Competition and Methods</w:t>
      </w:r>
    </w:p>
    <w:p>
      <w:r>
        <w:rPr>
          <w:b w:val="0"/>
          <w:i w:val="0"/>
        </w:rPr>
        <w:t>Procurements must provide full and open competition consistent with 2 CFR 200.319 (Competition) and use an appropriate method of procurement under 2 CFR 200.320 (Methods of procurement). Where a noncompetitive (sole-source) procurement is asserted — for example, on the basis of RIVR Tech’s unique existing middle-mile assets — the Tribe must document that one of the limited circumstances permitting noncompetitive procurement is met and, where required, obtain awarding-agency approval.</w:t>
      </w:r>
    </w:p>
    <w:p>
      <w:pPr>
        <w:ind w:left="504"/>
      </w:pPr>
      <w:r>
        <w:rPr>
          <w:b/>
          <w:color w:val="7F007F"/>
        </w:rPr>
        <w:t xml:space="preserve">[GRANT COMPLIANCE REVIEW REQUIRED]  </w:t>
      </w:r>
      <w:r>
        <w:rPr>
          <w:i/>
          <w:color w:val="595959"/>
        </w:rPr>
        <w:t>If RIVR Tech was selected without full and open competition, document the sole-source justification under 200.320 and confirm whether NTIA pre-approval is required. This is a common audit-finding area.</w:t>
      </w:r>
    </w:p>
    <w:p>
      <w:pPr>
        <w:pStyle w:val="Heading2"/>
        <w:spacing w:before="160" w:after="60"/>
      </w:pPr>
      <w:r>
        <w:rPr>
          <w:rFonts w:ascii="Calibri" w:hAnsi="Calibri"/>
          <w:b/>
          <w:color w:val="000000"/>
          <w:sz w:val="22"/>
        </w:rPr>
        <w:t>4.3  Domestic Preference</w:t>
      </w:r>
    </w:p>
    <w:p>
      <w:r>
        <w:rPr>
          <w:b w:val="0"/>
          <w:i w:val="0"/>
        </w:rPr>
        <w:t>Procurements are subject to the domestic-preference provisions of 2 CFR 200.322 (Domestic preferences for procurements), in addition to the Build America, Buy America requirements addressed in Article 6.</w:t>
      </w:r>
    </w:p>
    <w:p>
      <w:pPr>
        <w:pStyle w:val="Heading2"/>
        <w:spacing w:before="160" w:after="60"/>
      </w:pPr>
      <w:r>
        <w:rPr>
          <w:rFonts w:ascii="Calibri" w:hAnsi="Calibri"/>
          <w:b/>
          <w:color w:val="000000"/>
          <w:sz w:val="22"/>
        </w:rPr>
        <w:t>4.4  Conflict of Interest</w:t>
      </w:r>
    </w:p>
    <w:p>
      <w:r>
        <w:rPr>
          <w:b w:val="0"/>
          <w:i w:val="0"/>
        </w:rPr>
        <w:t>The Tribe shall maintain and enforce written conflict-of-interest and, if applicable, organizational-conflict-of-interest standards consistent with 2 CFR 200.318(c) and 2 CFR 200.112 (Conflict of interest), and shall make the mandatory disclosures required by 2 CFR 200.113 (Mandatory disclosures). Any relationship between the Tribe, its officials, RIVR Tech, and the parent cooperative that could present a conflict must be disclosed and managed.</w:t>
      </w:r>
    </w:p>
    <w:p>
      <w:pPr>
        <w:ind w:left="504"/>
      </w:pPr>
      <w:r>
        <w:rPr>
          <w:b/>
          <w:color w:val="0000C0"/>
        </w:rPr>
        <w:t xml:space="preserve">[ATTORNEY REVIEW REQUIRED]  </w:t>
      </w:r>
      <w:r>
        <w:rPr>
          <w:i/>
          <w:color w:val="595959"/>
        </w:rPr>
        <w:t>Map any overlapping officials, ownership, or affiliations between the Tribe, RIVR Tech, and LREMC / the parent cooperative, and confirm the COI safeguards.</w:t>
      </w:r>
    </w:p>
    <w:p>
      <w:pPr>
        <w:pStyle w:val="Heading2"/>
        <w:spacing w:before="160" w:after="60"/>
      </w:pPr>
      <w:r>
        <w:rPr>
          <w:rFonts w:ascii="Calibri" w:hAnsi="Calibri"/>
          <w:b/>
          <w:color w:val="000000"/>
          <w:sz w:val="22"/>
        </w:rPr>
        <w:t>4.5  Debarment and Suspension</w:t>
      </w:r>
    </w:p>
    <w:p>
      <w:r>
        <w:rPr>
          <w:b w:val="0"/>
          <w:i w:val="0"/>
        </w:rPr>
        <w:t>Neither RIVR Tech nor any subcontractor may be debarred, suspended, or otherwise excluded, consistent with 2 CFR Part 180 and 2 CFR Part 1327 (Governmentwide debarment and suspension — DOC/NTIA adoption). The Tribe shall verify exclusion status (e.g., via SAM.gov) before award and flow down the requirement to lower tiers.</w:t>
      </w:r>
    </w:p>
    <w:p>
      <w:pPr>
        <w:pStyle w:val="Heading1"/>
        <w:spacing w:before="240" w:after="120"/>
      </w:pPr>
      <w:r>
        <w:rPr>
          <w:rFonts w:ascii="Calibri" w:hAnsi="Calibri"/>
          <w:b/>
          <w:color w:val="1F3864"/>
          <w:sz w:val="26"/>
        </w:rPr>
        <w:t>ARTICLE 5.  PROGRAM INCOME</w:t>
      </w:r>
    </w:p>
    <w:p>
      <w:r>
        <w:rPr>
          <w:b w:val="0"/>
          <w:i w:val="0"/>
        </w:rPr>
        <w:t>Revenue generated by the Tribal Assets may constitute Program Income under 2 CFR 200.307 (Program income). Program income must be identified, accounted for, and applied under the method (deduction, addition, or cost sharing/matching) specified or approved by NTIA in the Award, both during and (if required) after the period of performance. The Financial and Revenue-Sharing Schedule (Deliverable 5) is structured so the Tribe can trace, account for, and report program income, but the Award’s program-income terms control over any commercial payment mechanic.</w:t>
      </w:r>
    </w:p>
    <w:p>
      <w:pPr>
        <w:ind w:left="504"/>
      </w:pPr>
      <w:r>
        <w:rPr>
          <w:b/>
          <w:color w:val="7F007F"/>
        </w:rPr>
        <w:t xml:space="preserve">[GRANT COMPLIANCE REVIEW REQUIRED]  </w:t>
      </w:r>
      <w:r>
        <w:rPr>
          <w:i/>
          <w:color w:val="595959"/>
        </w:rPr>
        <w:t>Grant counsel must fix the program-income method and its post-period-of-performance treatment; this drives how the Tribe may use its revenue share.</w:t>
      </w:r>
    </w:p>
    <w:p>
      <w:pPr>
        <w:pStyle w:val="Heading1"/>
        <w:spacing w:before="240" w:after="120"/>
      </w:pPr>
      <w:r>
        <w:rPr>
          <w:rFonts w:ascii="Calibri" w:hAnsi="Calibri"/>
          <w:b/>
          <w:color w:val="1F3864"/>
          <w:sz w:val="26"/>
        </w:rPr>
        <w:t>ARTICLE 6.  DOMESTIC SOURCING, BABA, AND PROHIBITED EQUIPMENT</w:t>
      </w:r>
    </w:p>
    <w:p>
      <w:pPr>
        <w:pStyle w:val="Heading2"/>
        <w:spacing w:before="160" w:after="60"/>
      </w:pPr>
      <w:r>
        <w:rPr>
          <w:rFonts w:ascii="Calibri" w:hAnsi="Calibri"/>
          <w:b/>
          <w:color w:val="000000"/>
          <w:sz w:val="22"/>
        </w:rPr>
        <w:t>6.1  Build America, Buy America</w:t>
      </w:r>
    </w:p>
    <w:p>
      <w:r>
        <w:rPr>
          <w:b w:val="0"/>
          <w:i w:val="0"/>
        </w:rPr>
        <w:t>All iron, steel, manufactured products, and construction materials incorporated into the Tribal Assets are subject to the Build America, Buy America (BABA) requirements of Build America, Buy America Act, IIJA §§ 70911–70917 (Pub. L. 117-58); 2 CFR Part 184; and NTIA BABA award terms, unless a waiver (public-interest, non-availability, or unreasonable-cost) has been issued by NTIA. RIVR Tech shall provide supplier certifications and maintain documentation sufficient to demonstrate BABA compliance for all covered items.</w:t>
      </w:r>
    </w:p>
    <w:p>
      <w:pPr>
        <w:ind w:left="504"/>
      </w:pPr>
      <w:r>
        <w:rPr>
          <w:b/>
          <w:color w:val="7F007F"/>
        </w:rPr>
        <w:t xml:space="preserve">[GRANT COMPLIANCE REVIEW REQUIRED]  </w:t>
      </w:r>
      <w:r>
        <w:rPr>
          <w:i/>
          <w:color w:val="595959"/>
        </w:rPr>
        <w:t>Confirm BABA applicability to each material class and whether any waiver has been granted; collect supplier certifications before procurement.</w:t>
      </w:r>
    </w:p>
    <w:p>
      <w:pPr>
        <w:pStyle w:val="Heading2"/>
        <w:spacing w:before="160" w:after="60"/>
      </w:pPr>
      <w:r>
        <w:rPr>
          <w:rFonts w:ascii="Calibri" w:hAnsi="Calibri"/>
          <w:b/>
          <w:color w:val="000000"/>
          <w:sz w:val="22"/>
        </w:rPr>
        <w:t>6.2  Prohibited Telecommunications Equipment (§889)</w:t>
      </w:r>
    </w:p>
    <w:p>
      <w:r>
        <w:rPr>
          <w:b w:val="0"/>
          <w:i w:val="0"/>
        </w:rPr>
        <w:t>No covered telecommunications equipment or services (as defined by Section 889 of the FY2019 NDAA) may be procured, obtained, or used in the Network, consistent with 2 CFR 200.216 (Prohibition on certain telecommunications and video surveillance — §889 covered equipment). RIVR Tech shall certify that neither the Tribal Assets nor the interconnected RIVR Tech Existing Network used to provide the services incorporate prohibited equipment.</w:t>
      </w:r>
    </w:p>
    <w:p>
      <w:pPr>
        <w:pStyle w:val="Heading1"/>
        <w:spacing w:before="240" w:after="120"/>
      </w:pPr>
      <w:r>
        <w:rPr>
          <w:rFonts w:ascii="Calibri" w:hAnsi="Calibri"/>
          <w:b/>
          <w:color w:val="1F3864"/>
          <w:sz w:val="26"/>
        </w:rPr>
        <w:t>ARTICLE 7.  ENVIRONMENTAL, HISTORIC PRESERVATION, AND CONSTRUCTION RESTRICTIONS</w:t>
      </w:r>
    </w:p>
    <w:p>
      <w:pPr>
        <w:pStyle w:val="Heading2"/>
        <w:spacing w:before="160" w:after="60"/>
      </w:pPr>
      <w:r>
        <w:rPr>
          <w:rFonts w:ascii="Calibri" w:hAnsi="Calibri"/>
          <w:b/>
          <w:color w:val="000000"/>
          <w:sz w:val="22"/>
        </w:rPr>
        <w:t>7.1  NEPA</w:t>
      </w:r>
    </w:p>
    <w:p>
      <w:r>
        <w:rPr>
          <w:b w:val="0"/>
          <w:i w:val="0"/>
        </w:rPr>
        <w:t>Construction of the Tribal Assets is subject to the National Environmental Policy Act (NEPA), 42 U.S.C. § 4321 et seq., and DOC/NTIA implementing procedures. The environmental review must be completed, and any required documentation approved, before ground-disturbing or other covered activity begins.</w:t>
      </w:r>
    </w:p>
    <w:p>
      <w:pPr>
        <w:pStyle w:val="Heading2"/>
        <w:spacing w:before="160" w:after="60"/>
      </w:pPr>
      <w:r>
        <w:rPr>
          <w:rFonts w:ascii="Calibri" w:hAnsi="Calibri"/>
          <w:b/>
          <w:color w:val="000000"/>
          <w:sz w:val="22"/>
        </w:rPr>
        <w:t>7.2  NHPA Section 106</w:t>
      </w:r>
    </w:p>
    <w:p>
      <w:r>
        <w:rPr>
          <w:b w:val="0"/>
          <w:i w:val="0"/>
        </w:rPr>
        <w:t>The project is subject to Section 106 of the National Historic Preservation Act § 106, 54 U.S.C. § 306108 (36 CFR Part 800), including consultation with the State Historic Preservation Officer and any Tribal Historic Preservation Officer, and identification and treatment of historic properties, before covered construction.</w:t>
      </w:r>
    </w:p>
    <w:p>
      <w:pPr>
        <w:pStyle w:val="Heading2"/>
        <w:spacing w:before="160" w:after="60"/>
      </w:pPr>
      <w:r>
        <w:rPr>
          <w:rFonts w:ascii="Calibri" w:hAnsi="Calibri"/>
          <w:b/>
          <w:color w:val="000000"/>
          <w:sz w:val="22"/>
        </w:rPr>
        <w:t>7.3  No Construction Before Clearance and NTIA Authorization</w:t>
      </w:r>
    </w:p>
    <w:p>
      <w:r>
        <w:rPr>
          <w:b w:val="0"/>
          <w:i w:val="0"/>
        </w:rPr>
        <w:t>RIVR Tech shall NOT commence construction, ground disturbance, or installation on any segment of the Tribal Assets until the applicable environmental (NEPA) and historic-preservation (NHPA §106) reviews are complete for that segment AND NTIA has issued written authorization to proceed. Premature construction can render costs unallowable and jeopardize the Award.</w:t>
      </w:r>
    </w:p>
    <w:p>
      <w:pPr>
        <w:ind w:left="504"/>
      </w:pPr>
      <w:r>
        <w:rPr>
          <w:b/>
          <w:color w:val="7F007F"/>
        </w:rPr>
        <w:t xml:space="preserve">[GRANT COMPLIANCE REVIEW REQUIRED]  </w:t>
      </w:r>
      <w:r>
        <w:rPr>
          <w:i/>
          <w:color w:val="595959"/>
        </w:rPr>
        <w:t>Do not begin any covered construction before NEPA/NHPA clearance and written NTIA notice-to-proceed for the relevant segment; track authorizations by segment.</w:t>
      </w:r>
    </w:p>
    <w:p>
      <w:pPr>
        <w:pStyle w:val="Heading1"/>
        <w:spacing w:before="240" w:after="120"/>
      </w:pPr>
      <w:r>
        <w:rPr>
          <w:rFonts w:ascii="Calibri" w:hAnsi="Calibri"/>
          <w:b/>
          <w:color w:val="1F3864"/>
          <w:sz w:val="26"/>
        </w:rPr>
        <w:t>ARTICLE 8.  SERVICE, AFFORDABILITY, AND DUPLICATION OF FUNDING</w:t>
      </w:r>
    </w:p>
    <w:p>
      <w:pPr>
        <w:pStyle w:val="Heading2"/>
        <w:spacing w:before="160" w:after="60"/>
      </w:pPr>
      <w:r>
        <w:rPr>
          <w:rFonts w:ascii="Calibri" w:hAnsi="Calibri"/>
          <w:b/>
          <w:color w:val="000000"/>
          <w:sz w:val="22"/>
        </w:rPr>
        <w:t>8.1  Service and Affordability Commitments</w:t>
      </w:r>
    </w:p>
    <w:p>
      <w:r>
        <w:rPr>
          <w:b w:val="0"/>
          <w:i w:val="0"/>
        </w:rPr>
        <w:t>The Network shall deliver service meeting or exceeding the TBCP performance floor of 100/20 Mbps to served locations, and shall offer a low-cost service option to eligible subscribers, in each case as required by the TBCP Round 3 Notice of Funding Opportunity (NTIA, June 2026) and the NTIA Standard Terms and Conditions and Specific Award Conditions. Affordability, non-discrimination, and any priority-of-service commitments in the Award flow through to RIVR Tech’s operation of the Network.</w:t>
      </w:r>
    </w:p>
    <w:p>
      <w:pPr>
        <w:ind w:left="504"/>
      </w:pPr>
      <w:r>
        <w:rPr>
          <w:b/>
          <w:color w:val="C00000"/>
        </w:rPr>
        <w:t xml:space="preserve">[BUSINESS DECISION REQUIRED]  </w:t>
      </w:r>
      <w:r>
        <w:rPr>
          <w:i/>
          <w:color w:val="595959"/>
        </w:rPr>
        <w:t>Confirm the exact low-cost plan price point and eligibility criteria required by the Award and reflect them in the retail pricing schedule.</w:t>
      </w:r>
    </w:p>
    <w:p>
      <w:pPr>
        <w:pStyle w:val="Heading2"/>
        <w:spacing w:before="160" w:after="60"/>
      </w:pPr>
      <w:r>
        <w:rPr>
          <w:rFonts w:ascii="Calibri" w:hAnsi="Calibri"/>
          <w:b/>
          <w:color w:val="000000"/>
          <w:sz w:val="22"/>
        </w:rPr>
        <w:t>8.2  Duplication of Funding</w:t>
      </w:r>
    </w:p>
    <w:p>
      <w:r>
        <w:rPr>
          <w:b w:val="0"/>
          <w:i w:val="0"/>
        </w:rPr>
        <w:t>No cost of the Tribal Assets may be paid by, and no portion of the TBCP service area may overlap with, another federal award or an enforceable federal or state funding commitment, except as expressly permitted by the Award. The Parties shall avoid any duplication of funding and shall promptly disclose any potential overlap to NTIA.</w:t>
      </w:r>
    </w:p>
    <w:p>
      <w:pPr>
        <w:pStyle w:val="Heading1"/>
        <w:spacing w:before="240" w:after="120"/>
      </w:pPr>
      <w:r>
        <w:rPr>
          <w:rFonts w:ascii="Calibri" w:hAnsi="Calibri"/>
          <w:b/>
          <w:color w:val="1F3864"/>
          <w:sz w:val="26"/>
        </w:rPr>
        <w:t>ARTICLE 9.  AUDIT, RECORDS, REPORTING, AND ALLOWABLE COSTS</w:t>
      </w:r>
    </w:p>
    <w:p>
      <w:pPr>
        <w:pStyle w:val="Heading2"/>
        <w:spacing w:before="160" w:after="60"/>
      </w:pPr>
      <w:r>
        <w:rPr>
          <w:rFonts w:ascii="Calibri" w:hAnsi="Calibri"/>
          <w:b/>
          <w:color w:val="000000"/>
          <w:sz w:val="22"/>
        </w:rPr>
        <w:t>9.1  Audit Access and Single Audit</w:t>
      </w:r>
    </w:p>
    <w:p>
      <w:r>
        <w:rPr>
          <w:b w:val="0"/>
          <w:i w:val="0"/>
        </w:rPr>
        <w:t xml:space="preserve">The Tribe, RIVR Tech, and their subcontractors shall provide the awarding agency, the Inspector General, the Comptroller General, and their authorized representatives access to records and the right to audit under 2 CFR 200.334–200.337 (Record retention and access; three-year retention), including the access provisions equivalent to 2 CFR 200.337. A non-federal entity that expends </w:t>
      </w:r>
      <w:r>
        <w:rPr>
          <w:b w:val="0"/>
          <w:i w:val="0"/>
          <w:color w:val="804000"/>
          <w:highlight w:val="yellow"/>
        </w:rPr>
        <w:t>[■ $1,000,000]</w:t>
      </w:r>
      <w:r>
        <w:rPr>
          <w:b w:val="0"/>
          <w:i w:val="0"/>
        </w:rPr>
        <w:t xml:space="preserve"> or more in federal awards in its fiscal year is subject to the single-audit requirements of 2 CFR Part 200, Subpart F (Audit Requirements; single-audit threshold $1,000,000).</w:t>
      </w:r>
    </w:p>
    <w:p>
      <w:pPr>
        <w:pStyle w:val="Heading2"/>
        <w:spacing w:before="160" w:after="60"/>
      </w:pPr>
      <w:r>
        <w:rPr>
          <w:rFonts w:ascii="Calibri" w:hAnsi="Calibri"/>
          <w:b/>
          <w:color w:val="000000"/>
          <w:sz w:val="22"/>
        </w:rPr>
        <w:t>9.2  Record Retention</w:t>
      </w:r>
    </w:p>
    <w:p>
      <w:r>
        <w:rPr>
          <w:b w:val="0"/>
          <w:i w:val="0"/>
        </w:rPr>
        <w:t>Financial and programmatic records, supporting documents, and all records pertinent to the Award shall be retained for 3 years from the date of submission of the final expenditure report, consistent with 2 CFR 200.334–200.337 (Record retention and access; three-year retention), and longer if litigation, claim, or audit is started before the period expires.</w:t>
      </w:r>
    </w:p>
    <w:p>
      <w:pPr>
        <w:pStyle w:val="Heading2"/>
        <w:spacing w:before="160" w:after="60"/>
      </w:pPr>
      <w:r>
        <w:rPr>
          <w:rFonts w:ascii="Calibri" w:hAnsi="Calibri"/>
          <w:b/>
          <w:color w:val="000000"/>
          <w:sz w:val="22"/>
        </w:rPr>
        <w:t>9.3  Reporting</w:t>
      </w:r>
    </w:p>
    <w:p>
      <w:r>
        <w:rPr>
          <w:b w:val="0"/>
          <w:i w:val="0"/>
        </w:rPr>
        <w:t>The Tribe (with RIVR Tech’s cooperation and data) shall submit the reports required by the Award, including semi-annual financial and technical/performance progress reports and an annual performance report, and any additional reporting specified in the NTIA Standard Terms and Conditions and Specific Award Conditions. RIVR Tech shall provide complete and accurate data on the schedule needed for the Tribe to meet each federal deadline.</w:t>
      </w:r>
    </w:p>
    <w:p>
      <w:pPr>
        <w:ind w:left="504"/>
      </w:pPr>
      <w:r>
        <w:rPr>
          <w:b/>
          <w:color w:val="7F007F"/>
        </w:rPr>
        <w:t xml:space="preserve">[GRANT COMPLIANCE REVIEW REQUIRED]  </w:t>
      </w:r>
      <w:r>
        <w:rPr>
          <w:i/>
          <w:color w:val="595959"/>
        </w:rPr>
        <w:t>Confirm the exact reporting cadence, forms, and system (e.g., NTIA reporting portal) in the Award; the semi-annual/annual cadence stated here is the program default and must be verified.</w:t>
      </w:r>
    </w:p>
    <w:p>
      <w:pPr>
        <w:pStyle w:val="Heading2"/>
        <w:spacing w:before="160" w:after="60"/>
      </w:pPr>
      <w:r>
        <w:rPr>
          <w:rFonts w:ascii="Calibri" w:hAnsi="Calibri"/>
          <w:b/>
          <w:color w:val="000000"/>
          <w:sz w:val="22"/>
        </w:rPr>
        <w:t>9.4  Allowable Costs and Cost Allocation</w:t>
      </w:r>
    </w:p>
    <w:p>
      <w:r>
        <w:rPr>
          <w:b w:val="0"/>
          <w:i w:val="0"/>
        </w:rPr>
        <w:t>All costs charged to or supported by the Award must be allowable, allocable, and reasonable under the cost principles of 2 CFR Part 200, Subpart E (Cost Principles — allowability, allocability, reasonableness). Shared and indirect costs must be allocated by a documented, consistently applied method, and no cost may be charged to more than one award or cost objective. This federal standard operates alongside, and is not satisfied merely by, the arm’s-length and overhead-cap provisions of the Financial and Revenue-Sharing Schedule.</w:t>
      </w:r>
    </w:p>
    <w:p>
      <w:pPr>
        <w:pStyle w:val="Heading2"/>
        <w:spacing w:before="160" w:after="60"/>
      </w:pPr>
      <w:r>
        <w:rPr>
          <w:rFonts w:ascii="Calibri" w:hAnsi="Calibri"/>
          <w:b/>
          <w:color w:val="000000"/>
          <w:sz w:val="22"/>
        </w:rPr>
        <w:t>9.5  Government Access Rights</w:t>
      </w:r>
    </w:p>
    <w:p>
      <w:r>
        <w:rPr>
          <w:b w:val="0"/>
          <w:i w:val="0"/>
        </w:rPr>
        <w:t>The federal government and the Tribe retain the right to enter, inspect, and observe the Tribal Assets and related records to verify compliance, on reasonable notice, throughout the Federal Interest period.</w:t>
      </w:r>
    </w:p>
    <w:p>
      <w:pPr>
        <w:pStyle w:val="Heading1"/>
        <w:spacing w:before="240" w:after="120"/>
      </w:pPr>
      <w:r>
        <w:rPr>
          <w:rFonts w:ascii="Calibri" w:hAnsi="Calibri"/>
          <w:b/>
          <w:color w:val="1F3864"/>
          <w:sz w:val="26"/>
        </w:rPr>
        <w:t>ARTICLE 10.  ASSET DISPOSITION AND TRANSFER RESTRICTIONS</w:t>
      </w:r>
    </w:p>
    <w:p>
      <w:pPr>
        <w:pStyle w:val="Heading2"/>
        <w:spacing w:before="160" w:after="60"/>
      </w:pPr>
      <w:r>
        <w:rPr>
          <w:rFonts w:ascii="Calibri" w:hAnsi="Calibri"/>
          <w:b/>
          <w:color w:val="000000"/>
          <w:sz w:val="22"/>
        </w:rPr>
        <w:t>10.1  Disposition Procedures</w:t>
      </w:r>
    </w:p>
    <w:p>
      <w:r>
        <w:rPr>
          <w:b w:val="0"/>
          <w:i w:val="0"/>
        </w:rPr>
        <w:t xml:space="preserve">Disposition of the Tribal Assets is governed by 2 CFR 200.311 (Real property — use, encumbrance, and disposition) and 2 CFR 200.313 (Equipment — use, management, and disposition). When equipment with a current per-unit fair market value exceeding </w:t>
      </w:r>
      <w:r>
        <w:rPr>
          <w:b w:val="0"/>
          <w:i w:val="0"/>
          <w:color w:val="804000"/>
          <w:highlight w:val="yellow"/>
        </w:rPr>
        <w:t>[■ $10,000]</w:t>
      </w:r>
      <w:r>
        <w:rPr>
          <w:b w:val="0"/>
          <w:i w:val="0"/>
        </w:rPr>
        <w:t xml:space="preserve"> is no longer needed for the program, and for any disposition of real property, the recipient must follow the disposition procedures and obtain awarding-agency (NTIA) instructions, which may require sale with a federal-share refund, transfer, or retention with compensation to the federal government.</w:t>
      </w:r>
    </w:p>
    <w:p>
      <w:pPr>
        <w:pStyle w:val="Heading2"/>
        <w:spacing w:before="160" w:after="60"/>
      </w:pPr>
      <w:r>
        <w:rPr>
          <w:rFonts w:ascii="Calibri" w:hAnsi="Calibri"/>
          <w:b/>
          <w:color w:val="000000"/>
          <w:sz w:val="22"/>
        </w:rPr>
        <w:t>10.2  Sale, Lease, Assignment, and Encumbrance Restrictions</w:t>
      </w:r>
    </w:p>
    <w:p>
      <w:r>
        <w:rPr>
          <w:b w:val="0"/>
          <w:i w:val="0"/>
        </w:rPr>
        <w:t>The Tribal Assets may NOT be sold, leased, assigned, transferred, mortgaged, pledged, encumbered, or otherwise disposed of, in whole or in part, without the prior written approval of NTIA where such approval is required by 2 CFR 200.311 (Real property — use, encumbrance, and disposition), 2 CFR 200.313 (Equipment — use, management, and disposition), or 2 CFR 200.316 (Property trust relationship). The IRU granted to RIVR Tech, and any collateral assignment, step-in, or lender security related to it, must be structured so that it does NOT constitute an impermissible sale, lease, encumbrance, or disposition of the Federal Interest in the Tribal Assets.</w:t>
      </w:r>
    </w:p>
    <w:p>
      <w:pPr>
        <w:ind w:left="504"/>
      </w:pPr>
      <w:r>
        <w:rPr>
          <w:b/>
          <w:color w:val="7F007F"/>
        </w:rPr>
        <w:t xml:space="preserve">[GRANT COMPLIANCE REVIEW REQUIRED]  </w:t>
      </w:r>
      <w:r>
        <w:rPr>
          <w:i/>
          <w:color w:val="595959"/>
        </w:rPr>
        <w:t>The IRU, any lender collateral package, and any step-in rights must be reviewed against the disposition/encumbrance rules; obtain NTIA prior approval where required before granting the IRU or any security interest over grant-funded assets.</w:t>
      </w:r>
    </w:p>
    <w:p>
      <w:pPr>
        <w:ind w:left="504"/>
      </w:pPr>
      <w:r>
        <w:rPr>
          <w:b/>
          <w:color w:val="0000C0"/>
        </w:rPr>
        <w:t xml:space="preserve">[ATTORNEY REVIEW REQUIRED]  </w:t>
      </w:r>
      <w:r>
        <w:rPr>
          <w:i/>
          <w:color w:val="595959"/>
        </w:rPr>
        <w:t>Structure the IRU so a long-term exclusive right of use is not recharacterized as a disposition or encumbrance of the federally funded assets; coordinate with any financing.</w:t>
      </w:r>
    </w:p>
    <w:p>
      <w:pPr>
        <w:pStyle w:val="Heading1"/>
        <w:spacing w:before="240" w:after="120"/>
      </w:pPr>
      <w:r>
        <w:rPr>
          <w:rFonts w:ascii="Calibri" w:hAnsi="Calibri"/>
          <w:b/>
          <w:color w:val="1F3864"/>
          <w:sz w:val="26"/>
        </w:rPr>
        <w:t>ARTICLE 11.  REMEDIES, FLOW-DOWN, AND PRECEDENCE</w:t>
      </w:r>
    </w:p>
    <w:p>
      <w:pPr>
        <w:pStyle w:val="Heading2"/>
        <w:spacing w:before="160" w:after="60"/>
      </w:pPr>
      <w:r>
        <w:rPr>
          <w:rFonts w:ascii="Calibri" w:hAnsi="Calibri"/>
          <w:b/>
          <w:color w:val="000000"/>
          <w:sz w:val="22"/>
        </w:rPr>
        <w:t>11.1  Remedies for Noncompliance</w:t>
      </w:r>
    </w:p>
    <w:p>
      <w:r>
        <w:rPr>
          <w:b w:val="0"/>
          <w:i w:val="0"/>
        </w:rPr>
        <w:t>Noncompliance with the Award or federal requirements may result in the remedies available under 2 CFR 200.339–200.343 (Remedies for noncompliance; termination), including temporarily withholding payments, disallowing costs, suspending or terminating the award, and other legal remedies. RIVR Tech shall indemnify and cooperate with the Tribe to cure any noncompliance attributable to RIVR Tech, and a disallowance or clawback caused by RIVR Tech’s act or omission is allocable to RIVR Tech.</w:t>
      </w:r>
    </w:p>
    <w:p>
      <w:pPr>
        <w:ind w:left="504"/>
      </w:pPr>
      <w:r>
        <w:rPr>
          <w:b/>
          <w:color w:val="0000C0"/>
        </w:rPr>
        <w:t xml:space="preserve">[ATTORNEY REVIEW REQUIRED]  </w:t>
      </w:r>
      <w:r>
        <w:rPr>
          <w:i/>
          <w:color w:val="595959"/>
        </w:rPr>
        <w:t>Reconcile the allocation of federal disallowance/clawback risk with the indemnity, limitation-of-liability, and insurance provisions of the Agreement.</w:t>
      </w:r>
    </w:p>
    <w:p>
      <w:pPr>
        <w:pStyle w:val="Heading2"/>
        <w:spacing w:before="160" w:after="60"/>
      </w:pPr>
      <w:r>
        <w:rPr>
          <w:rFonts w:ascii="Calibri" w:hAnsi="Calibri"/>
          <w:b/>
          <w:color w:val="000000"/>
          <w:sz w:val="22"/>
        </w:rPr>
        <w:t>11.2  Flow-Down Requirements</w:t>
      </w:r>
    </w:p>
    <w:p>
      <w:r>
        <w:rPr>
          <w:b w:val="0"/>
          <w:i w:val="0"/>
        </w:rPr>
        <w:t>RIVR Tech shall include, in every subcontract and lower-tier agreement relating to the Tribal Assets, the federal terms required by the Award and 2 CFR Part 200 (Uniform Administrative Requirements, Cost Principles, and Audit Requirements for Federal Awards) — including property management, BABA and §889 prohibitions, domestic preference, debarment/suspension, conflict-of-interest, record retention and audit access, environmental and historic-preservation, and remedies provisions — and shall bind its subcontractors to them so the Tribe’s and the federal government’s rights are preserved down the chain.</w:t>
      </w:r>
    </w:p>
    <w:p>
      <w:pPr>
        <w:pStyle w:val="Heading2"/>
        <w:spacing w:before="160" w:after="60"/>
      </w:pPr>
      <w:r>
        <w:rPr>
          <w:rFonts w:ascii="Calibri" w:hAnsi="Calibri"/>
          <w:b/>
          <w:color w:val="000000"/>
          <w:sz w:val="22"/>
        </w:rPr>
        <w:t>11.3  Order of Precedence (Restated)</w:t>
      </w:r>
    </w:p>
    <w:p>
      <w:r>
        <w:rPr>
          <w:b w:val="0"/>
          <w:i w:val="0"/>
        </w:rPr>
        <w:t>For the avoidance of doubt: if a commercial provision of the Agreement, any Schedule, or any Exhibit conflicts with the Award or 2 CFR Part 200 (Uniform Administrative Requirements, Cost Principles, and Audit Requirements for Federal Awards) or other federal requirement, the Award and federal requirement CONTROL. This Addendum is to be read to give maximum effect to the federal requirements and the Federal Interest.</w:t>
      </w:r>
    </w:p>
    <w:p>
      <w:pPr>
        <w:pStyle w:val="Heading1"/>
        <w:spacing w:before="240" w:after="120"/>
      </w:pPr>
      <w:r>
        <w:rPr>
          <w:rFonts w:ascii="Calibri" w:hAnsi="Calibri"/>
          <w:b/>
          <w:color w:val="1F3864"/>
          <w:sz w:val="26"/>
        </w:rPr>
        <w:t>ARTICLE 12.  COMPLIANCE RESPONSIBILITY MATRIX</w:t>
      </w:r>
    </w:p>
    <w:p>
      <w:r>
        <w:rPr>
          <w:b w:val="0"/>
          <w:i w:val="0"/>
        </w:rPr>
        <w:t>The following matrix summarizes the principal compliance requirements, their controlling citations, the responsible Party, and cross-references. It is a summary aid; the operative obligations are those in the Articles above and in the Award.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384"/>
            <w:shd w:val="clear" w:color="auto" w:fill="1F3864"/>
            <w:vAlign w:val="center"/>
          </w:tcPr>
          <w:p>
            <w:pPr>
              <w:jc w:val="center"/>
            </w:pPr>
            <w:r>
              <w:rPr>
                <w:b/>
                <w:color w:val="FFFFFF"/>
                <w:sz w:val="15"/>
              </w:rPr>
              <w:t>Requirement</w:t>
            </w:r>
          </w:p>
        </w:tc>
        <w:tc>
          <w:tcPr>
            <w:tcW w:type="dxa" w:w="3672"/>
            <w:shd w:val="clear" w:color="auto" w:fill="1F3864"/>
            <w:vAlign w:val="center"/>
          </w:tcPr>
          <w:p>
            <w:pPr>
              <w:jc w:val="center"/>
            </w:pPr>
            <w:r>
              <w:rPr>
                <w:b/>
                <w:color w:val="FFFFFF"/>
                <w:sz w:val="15"/>
              </w:rPr>
              <w:t>Citation</w:t>
            </w:r>
          </w:p>
        </w:tc>
        <w:tc>
          <w:tcPr>
            <w:tcW w:type="dxa" w:w="2160"/>
            <w:shd w:val="clear" w:color="auto" w:fill="1F3864"/>
            <w:vAlign w:val="center"/>
          </w:tcPr>
          <w:p>
            <w:pPr>
              <w:jc w:val="center"/>
            </w:pPr>
            <w:r>
              <w:rPr>
                <w:b/>
                <w:color w:val="FFFFFF"/>
                <w:sz w:val="15"/>
              </w:rPr>
              <w:t>Responsible Party</w:t>
            </w:r>
          </w:p>
        </w:tc>
        <w:tc>
          <w:tcPr>
            <w:tcW w:type="dxa" w:w="1512"/>
            <w:shd w:val="clear" w:color="auto" w:fill="1F3864"/>
            <w:vAlign w:val="center"/>
          </w:tcPr>
          <w:p>
            <w:pPr>
              <w:jc w:val="center"/>
            </w:pPr>
            <w:r>
              <w:rPr>
                <w:b/>
                <w:color w:val="FFFFFF"/>
                <w:sz w:val="15"/>
              </w:rPr>
              <w:t>Cross-ref</w:t>
            </w:r>
          </w:p>
        </w:tc>
      </w:tr>
      <w:tr>
        <w:tc>
          <w:tcPr>
            <w:tcW w:type="dxa" w:w="3384"/>
            <w:vAlign w:val="center"/>
          </w:tcPr>
          <w:p>
            <w:r>
              <w:rPr>
                <w:b w:val="0"/>
                <w:i w:val="0"/>
                <w:sz w:val="15"/>
              </w:rPr>
              <w:t>Title / property trust relationship &amp; federal interest</w:t>
            </w:r>
          </w:p>
        </w:tc>
        <w:tc>
          <w:tcPr>
            <w:tcW w:type="dxa" w:w="3672"/>
            <w:vAlign w:val="center"/>
          </w:tcPr>
          <w:p>
            <w:r>
              <w:rPr>
                <w:b w:val="0"/>
                <w:i w:val="0"/>
                <w:sz w:val="15"/>
              </w:rPr>
              <w:t>2 CFR 200.316 (Property trust relationship)</w:t>
            </w:r>
          </w:p>
        </w:tc>
        <w:tc>
          <w:tcPr>
            <w:tcW w:type="dxa" w:w="2160"/>
            <w:vAlign w:val="center"/>
          </w:tcPr>
          <w:p>
            <w:r>
              <w:rPr>
                <w:b w:val="0"/>
                <w:i w:val="0"/>
                <w:sz w:val="15"/>
              </w:rPr>
              <w:t>Tribe (recipient)</w:t>
            </w:r>
          </w:p>
        </w:tc>
        <w:tc>
          <w:tcPr>
            <w:tcW w:type="dxa" w:w="1512"/>
            <w:vAlign w:val="center"/>
          </w:tcPr>
          <w:p>
            <w:r>
              <w:rPr>
                <w:b w:val="0"/>
                <w:i w:val="0"/>
                <w:sz w:val="15"/>
              </w:rPr>
              <w:t>Art. 2; Ex. K</w:t>
            </w:r>
          </w:p>
        </w:tc>
      </w:tr>
      <w:tr>
        <w:tc>
          <w:tcPr>
            <w:tcW w:type="dxa" w:w="3384"/>
            <w:shd w:val="clear" w:color="auto" w:fill="F2F2F2"/>
            <w:vAlign w:val="center"/>
          </w:tcPr>
          <w:p>
            <w:r>
              <w:rPr>
                <w:b w:val="0"/>
                <w:i w:val="0"/>
                <w:sz w:val="15"/>
              </w:rPr>
              <w:t>Property records &amp; biennial inventory</w:t>
            </w:r>
          </w:p>
        </w:tc>
        <w:tc>
          <w:tcPr>
            <w:tcW w:type="dxa" w:w="3672"/>
            <w:shd w:val="clear" w:color="auto" w:fill="F2F2F2"/>
            <w:vAlign w:val="center"/>
          </w:tcPr>
          <w:p>
            <w:r>
              <w:rPr>
                <w:b w:val="0"/>
                <w:i w:val="0"/>
                <w:sz w:val="15"/>
              </w:rPr>
              <w:t>2 CFR 200.313 (Equipment — use, management, and disposition)(d)</w:t>
            </w:r>
          </w:p>
        </w:tc>
        <w:tc>
          <w:tcPr>
            <w:tcW w:type="dxa" w:w="2160"/>
            <w:shd w:val="clear" w:color="auto" w:fill="F2F2F2"/>
            <w:vAlign w:val="center"/>
          </w:tcPr>
          <w:p>
            <w:r>
              <w:rPr>
                <w:b w:val="0"/>
                <w:i w:val="0"/>
                <w:sz w:val="15"/>
              </w:rPr>
              <w:t>Tribe; RIVR Tech (data)</w:t>
            </w:r>
          </w:p>
        </w:tc>
        <w:tc>
          <w:tcPr>
            <w:tcW w:type="dxa" w:w="1512"/>
            <w:shd w:val="clear" w:color="auto" w:fill="F2F2F2"/>
            <w:vAlign w:val="center"/>
          </w:tcPr>
          <w:p>
            <w:r>
              <w:rPr>
                <w:b w:val="0"/>
                <w:i w:val="0"/>
                <w:sz w:val="15"/>
              </w:rPr>
              <w:t>§2.4; Ex. K</w:t>
            </w:r>
          </w:p>
        </w:tc>
      </w:tr>
      <w:tr>
        <w:tc>
          <w:tcPr>
            <w:tcW w:type="dxa" w:w="3384"/>
            <w:vAlign w:val="center"/>
          </w:tcPr>
          <w:p>
            <w:r>
              <w:rPr>
                <w:b w:val="0"/>
                <w:i w:val="0"/>
                <w:sz w:val="15"/>
              </w:rPr>
              <w:t>Real-property use / encumbrance / disposition</w:t>
            </w:r>
          </w:p>
        </w:tc>
        <w:tc>
          <w:tcPr>
            <w:tcW w:type="dxa" w:w="3672"/>
            <w:vAlign w:val="center"/>
          </w:tcPr>
          <w:p>
            <w:r>
              <w:rPr>
                <w:b w:val="0"/>
                <w:i w:val="0"/>
                <w:sz w:val="15"/>
              </w:rPr>
              <w:t>2 CFR 200.311 (Real property — use, encumbrance, and disposition)</w:t>
            </w:r>
          </w:p>
        </w:tc>
        <w:tc>
          <w:tcPr>
            <w:tcW w:type="dxa" w:w="2160"/>
            <w:vAlign w:val="center"/>
          </w:tcPr>
          <w:p>
            <w:r>
              <w:rPr>
                <w:b w:val="0"/>
                <w:i w:val="0"/>
                <w:sz w:val="15"/>
              </w:rPr>
              <w:t>Tribe + NTIA approval</w:t>
            </w:r>
          </w:p>
        </w:tc>
        <w:tc>
          <w:tcPr>
            <w:tcW w:type="dxa" w:w="1512"/>
            <w:vAlign w:val="center"/>
          </w:tcPr>
          <w:p>
            <w:r>
              <w:rPr>
                <w:b w:val="0"/>
                <w:i w:val="0"/>
                <w:sz w:val="15"/>
              </w:rPr>
              <w:t>Art. 10</w:t>
            </w:r>
          </w:p>
        </w:tc>
      </w:tr>
      <w:tr>
        <w:tc>
          <w:tcPr>
            <w:tcW w:type="dxa" w:w="3384"/>
            <w:shd w:val="clear" w:color="auto" w:fill="F2F2F2"/>
            <w:vAlign w:val="center"/>
          </w:tcPr>
          <w:p>
            <w:r>
              <w:rPr>
                <w:b w:val="0"/>
                <w:i w:val="0"/>
                <w:sz w:val="15"/>
              </w:rPr>
              <w:t>Insurance of grant-funded property</w:t>
            </w:r>
          </w:p>
        </w:tc>
        <w:tc>
          <w:tcPr>
            <w:tcW w:type="dxa" w:w="3672"/>
            <w:shd w:val="clear" w:color="auto" w:fill="F2F2F2"/>
            <w:vAlign w:val="center"/>
          </w:tcPr>
          <w:p>
            <w:r>
              <w:rPr>
                <w:b w:val="0"/>
                <w:i w:val="0"/>
                <w:sz w:val="15"/>
              </w:rPr>
              <w:t>2 CFR 200.310 (Insurance coverage)</w:t>
            </w:r>
          </w:p>
        </w:tc>
        <w:tc>
          <w:tcPr>
            <w:tcW w:type="dxa" w:w="2160"/>
            <w:shd w:val="clear" w:color="auto" w:fill="F2F2F2"/>
            <w:vAlign w:val="center"/>
          </w:tcPr>
          <w:p>
            <w:r>
              <w:rPr>
                <w:b w:val="0"/>
                <w:i w:val="0"/>
                <w:sz w:val="15"/>
              </w:rPr>
              <w:t>RIVR Tech / Tribe</w:t>
            </w:r>
          </w:p>
        </w:tc>
        <w:tc>
          <w:tcPr>
            <w:tcW w:type="dxa" w:w="1512"/>
            <w:shd w:val="clear" w:color="auto" w:fill="F2F2F2"/>
            <w:vAlign w:val="center"/>
          </w:tcPr>
          <w:p>
            <w:r>
              <w:rPr>
                <w:b w:val="0"/>
                <w:i w:val="0"/>
                <w:sz w:val="15"/>
              </w:rPr>
              <w:t>§2.5; Ex. I</w:t>
            </w:r>
          </w:p>
        </w:tc>
      </w:tr>
      <w:tr>
        <w:tc>
          <w:tcPr>
            <w:tcW w:type="dxa" w:w="3384"/>
            <w:vAlign w:val="center"/>
          </w:tcPr>
          <w:p>
            <w:r>
              <w:rPr>
                <w:b w:val="0"/>
                <w:i w:val="0"/>
                <w:sz w:val="15"/>
              </w:rPr>
              <w:t>Contractor vs. subrecipient determination</w:t>
            </w:r>
          </w:p>
        </w:tc>
        <w:tc>
          <w:tcPr>
            <w:tcW w:type="dxa" w:w="3672"/>
            <w:vAlign w:val="center"/>
          </w:tcPr>
          <w:p>
            <w:r>
              <w:rPr>
                <w:b w:val="0"/>
                <w:i w:val="0"/>
                <w:sz w:val="15"/>
              </w:rPr>
              <w:t>2 CFR 200.331 (Subrecipient and contractor determinations)</w:t>
            </w:r>
          </w:p>
        </w:tc>
        <w:tc>
          <w:tcPr>
            <w:tcW w:type="dxa" w:w="2160"/>
            <w:vAlign w:val="center"/>
          </w:tcPr>
          <w:p>
            <w:r>
              <w:rPr>
                <w:b w:val="0"/>
                <w:i w:val="0"/>
                <w:sz w:val="15"/>
              </w:rPr>
              <w:t>Tribe + grant counsel</w:t>
            </w:r>
          </w:p>
        </w:tc>
        <w:tc>
          <w:tcPr>
            <w:tcW w:type="dxa" w:w="1512"/>
            <w:vAlign w:val="center"/>
          </w:tcPr>
          <w:p>
            <w:r>
              <w:rPr>
                <w:b w:val="0"/>
                <w:i w:val="0"/>
                <w:sz w:val="15"/>
              </w:rPr>
              <w:t>Art. 3</w:t>
            </w:r>
          </w:p>
        </w:tc>
      </w:tr>
      <w:tr>
        <w:tc>
          <w:tcPr>
            <w:tcW w:type="dxa" w:w="3384"/>
            <w:shd w:val="clear" w:color="auto" w:fill="F2F2F2"/>
            <w:vAlign w:val="center"/>
          </w:tcPr>
          <w:p>
            <w:r>
              <w:rPr>
                <w:b w:val="0"/>
                <w:i w:val="0"/>
                <w:sz w:val="15"/>
              </w:rPr>
              <w:t>Pass-through monitoring (if subrecipient)</w:t>
            </w:r>
          </w:p>
        </w:tc>
        <w:tc>
          <w:tcPr>
            <w:tcW w:type="dxa" w:w="3672"/>
            <w:shd w:val="clear" w:color="auto" w:fill="F2F2F2"/>
            <w:vAlign w:val="center"/>
          </w:tcPr>
          <w:p>
            <w:r>
              <w:rPr>
                <w:b w:val="0"/>
                <w:i w:val="0"/>
                <w:sz w:val="15"/>
              </w:rPr>
              <w:t>2 CFR 200.332 (Requirements for pass-through entities)</w:t>
            </w:r>
          </w:p>
        </w:tc>
        <w:tc>
          <w:tcPr>
            <w:tcW w:type="dxa" w:w="2160"/>
            <w:shd w:val="clear" w:color="auto" w:fill="F2F2F2"/>
            <w:vAlign w:val="center"/>
          </w:tcPr>
          <w:p>
            <w:r>
              <w:rPr>
                <w:b w:val="0"/>
                <w:i w:val="0"/>
                <w:sz w:val="15"/>
              </w:rPr>
              <w:t>Tribe</w:t>
            </w:r>
          </w:p>
        </w:tc>
        <w:tc>
          <w:tcPr>
            <w:tcW w:type="dxa" w:w="1512"/>
            <w:shd w:val="clear" w:color="auto" w:fill="F2F2F2"/>
            <w:vAlign w:val="center"/>
          </w:tcPr>
          <w:p>
            <w:r>
              <w:rPr>
                <w:b w:val="0"/>
                <w:i w:val="0"/>
                <w:sz w:val="15"/>
              </w:rPr>
              <w:t>§3.3</w:t>
            </w:r>
          </w:p>
        </w:tc>
      </w:tr>
      <w:tr>
        <w:tc>
          <w:tcPr>
            <w:tcW w:type="dxa" w:w="3384"/>
            <w:vAlign w:val="center"/>
          </w:tcPr>
          <w:p>
            <w:r>
              <w:rPr>
                <w:b w:val="0"/>
                <w:i w:val="0"/>
                <w:sz w:val="15"/>
              </w:rPr>
              <w:t>Procurement standards</w:t>
            </w:r>
          </w:p>
        </w:tc>
        <w:tc>
          <w:tcPr>
            <w:tcW w:type="dxa" w:w="3672"/>
            <w:vAlign w:val="center"/>
          </w:tcPr>
          <w:p>
            <w:r>
              <w:rPr>
                <w:b w:val="0"/>
                <w:i w:val="0"/>
                <w:sz w:val="15"/>
              </w:rPr>
              <w:t>2 CFR 200.317–200.327 (Procurement standards)</w:t>
            </w:r>
          </w:p>
        </w:tc>
        <w:tc>
          <w:tcPr>
            <w:tcW w:type="dxa" w:w="2160"/>
            <w:vAlign w:val="center"/>
          </w:tcPr>
          <w:p>
            <w:r>
              <w:rPr>
                <w:b w:val="0"/>
                <w:i w:val="0"/>
                <w:sz w:val="15"/>
              </w:rPr>
              <w:t>Tribe</w:t>
            </w:r>
          </w:p>
        </w:tc>
        <w:tc>
          <w:tcPr>
            <w:tcW w:type="dxa" w:w="1512"/>
            <w:vAlign w:val="center"/>
          </w:tcPr>
          <w:p>
            <w:r>
              <w:rPr>
                <w:b w:val="0"/>
                <w:i w:val="0"/>
                <w:sz w:val="15"/>
              </w:rPr>
              <w:t>Art. 4</w:t>
            </w:r>
          </w:p>
        </w:tc>
      </w:tr>
      <w:tr>
        <w:tc>
          <w:tcPr>
            <w:tcW w:type="dxa" w:w="3384"/>
            <w:shd w:val="clear" w:color="auto" w:fill="F2F2F2"/>
            <w:vAlign w:val="center"/>
          </w:tcPr>
          <w:p>
            <w:r>
              <w:rPr>
                <w:b w:val="0"/>
                <w:i w:val="0"/>
                <w:sz w:val="15"/>
              </w:rPr>
              <w:t>Competition / methods / sole-source justification</w:t>
            </w:r>
          </w:p>
        </w:tc>
        <w:tc>
          <w:tcPr>
            <w:tcW w:type="dxa" w:w="3672"/>
            <w:shd w:val="clear" w:color="auto" w:fill="F2F2F2"/>
            <w:vAlign w:val="center"/>
          </w:tcPr>
          <w:p>
            <w:r>
              <w:rPr>
                <w:b w:val="0"/>
                <w:i w:val="0"/>
                <w:sz w:val="15"/>
              </w:rPr>
              <w:t>2 CFR 200.320 (Methods of procurement)</w:t>
            </w:r>
          </w:p>
        </w:tc>
        <w:tc>
          <w:tcPr>
            <w:tcW w:type="dxa" w:w="2160"/>
            <w:shd w:val="clear" w:color="auto" w:fill="F2F2F2"/>
            <w:vAlign w:val="center"/>
          </w:tcPr>
          <w:p>
            <w:r>
              <w:rPr>
                <w:b w:val="0"/>
                <w:i w:val="0"/>
                <w:sz w:val="15"/>
              </w:rPr>
              <w:t>Tribe</w:t>
            </w:r>
          </w:p>
        </w:tc>
        <w:tc>
          <w:tcPr>
            <w:tcW w:type="dxa" w:w="1512"/>
            <w:shd w:val="clear" w:color="auto" w:fill="F2F2F2"/>
            <w:vAlign w:val="center"/>
          </w:tcPr>
          <w:p>
            <w:r>
              <w:rPr>
                <w:b w:val="0"/>
                <w:i w:val="0"/>
                <w:sz w:val="15"/>
              </w:rPr>
              <w:t>§4.2</w:t>
            </w:r>
          </w:p>
        </w:tc>
      </w:tr>
      <w:tr>
        <w:tc>
          <w:tcPr>
            <w:tcW w:type="dxa" w:w="3384"/>
            <w:vAlign w:val="center"/>
          </w:tcPr>
          <w:p>
            <w:r>
              <w:rPr>
                <w:b w:val="0"/>
                <w:i w:val="0"/>
                <w:sz w:val="15"/>
              </w:rPr>
              <w:t>Conflict of interest &amp; mandatory disclosures</w:t>
            </w:r>
          </w:p>
        </w:tc>
        <w:tc>
          <w:tcPr>
            <w:tcW w:type="dxa" w:w="3672"/>
            <w:vAlign w:val="center"/>
          </w:tcPr>
          <w:p>
            <w:r>
              <w:rPr>
                <w:b w:val="0"/>
                <w:i w:val="0"/>
                <w:sz w:val="15"/>
              </w:rPr>
              <w:t>2 CFR 200.318(c) and 2 CFR 200.112 (Conflict of interest)</w:t>
            </w:r>
          </w:p>
        </w:tc>
        <w:tc>
          <w:tcPr>
            <w:tcW w:type="dxa" w:w="2160"/>
            <w:vAlign w:val="center"/>
          </w:tcPr>
          <w:p>
            <w:r>
              <w:rPr>
                <w:b w:val="0"/>
                <w:i w:val="0"/>
                <w:sz w:val="15"/>
              </w:rPr>
              <w:t>Tribe; RIVR Tech</w:t>
            </w:r>
          </w:p>
        </w:tc>
        <w:tc>
          <w:tcPr>
            <w:tcW w:type="dxa" w:w="1512"/>
            <w:vAlign w:val="center"/>
          </w:tcPr>
          <w:p>
            <w:r>
              <w:rPr>
                <w:b w:val="0"/>
                <w:i w:val="0"/>
                <w:sz w:val="15"/>
              </w:rPr>
              <w:t>§4.4</w:t>
            </w:r>
          </w:p>
        </w:tc>
      </w:tr>
      <w:tr>
        <w:tc>
          <w:tcPr>
            <w:tcW w:type="dxa" w:w="3384"/>
            <w:shd w:val="clear" w:color="auto" w:fill="F2F2F2"/>
            <w:vAlign w:val="center"/>
          </w:tcPr>
          <w:p>
            <w:r>
              <w:rPr>
                <w:b w:val="0"/>
                <w:i w:val="0"/>
                <w:sz w:val="15"/>
              </w:rPr>
              <w:t>Debarment &amp; suspension</w:t>
            </w:r>
          </w:p>
        </w:tc>
        <w:tc>
          <w:tcPr>
            <w:tcW w:type="dxa" w:w="3672"/>
            <w:shd w:val="clear" w:color="auto" w:fill="F2F2F2"/>
            <w:vAlign w:val="center"/>
          </w:tcPr>
          <w:p>
            <w:r>
              <w:rPr>
                <w:b w:val="0"/>
                <w:i w:val="0"/>
                <w:sz w:val="15"/>
              </w:rPr>
              <w:t>2 CFR Part 180 and 2 CFR Part 1327 (Governmentwide debarment and suspension — DOC/NTIA adoption)</w:t>
            </w:r>
          </w:p>
        </w:tc>
        <w:tc>
          <w:tcPr>
            <w:tcW w:type="dxa" w:w="2160"/>
            <w:shd w:val="clear" w:color="auto" w:fill="F2F2F2"/>
            <w:vAlign w:val="center"/>
          </w:tcPr>
          <w:p>
            <w:r>
              <w:rPr>
                <w:b w:val="0"/>
                <w:i w:val="0"/>
                <w:sz w:val="15"/>
              </w:rPr>
              <w:t>Tribe (verify); flow-down</w:t>
            </w:r>
          </w:p>
        </w:tc>
        <w:tc>
          <w:tcPr>
            <w:tcW w:type="dxa" w:w="1512"/>
            <w:shd w:val="clear" w:color="auto" w:fill="F2F2F2"/>
            <w:vAlign w:val="center"/>
          </w:tcPr>
          <w:p>
            <w:r>
              <w:rPr>
                <w:b w:val="0"/>
                <w:i w:val="0"/>
                <w:sz w:val="15"/>
              </w:rPr>
              <w:t>§4.5; §11.2</w:t>
            </w:r>
          </w:p>
        </w:tc>
      </w:tr>
      <w:tr>
        <w:tc>
          <w:tcPr>
            <w:tcW w:type="dxa" w:w="3384"/>
            <w:vAlign w:val="center"/>
          </w:tcPr>
          <w:p>
            <w:r>
              <w:rPr>
                <w:b w:val="0"/>
                <w:i w:val="0"/>
                <w:sz w:val="15"/>
              </w:rPr>
              <w:t>Program income</w:t>
            </w:r>
          </w:p>
        </w:tc>
        <w:tc>
          <w:tcPr>
            <w:tcW w:type="dxa" w:w="3672"/>
            <w:vAlign w:val="center"/>
          </w:tcPr>
          <w:p>
            <w:r>
              <w:rPr>
                <w:b w:val="0"/>
                <w:i w:val="0"/>
                <w:sz w:val="15"/>
              </w:rPr>
              <w:t>2 CFR 200.307 (Program income)</w:t>
            </w:r>
          </w:p>
        </w:tc>
        <w:tc>
          <w:tcPr>
            <w:tcW w:type="dxa" w:w="2160"/>
            <w:vAlign w:val="center"/>
          </w:tcPr>
          <w:p>
            <w:r>
              <w:rPr>
                <w:b w:val="0"/>
                <w:i w:val="0"/>
                <w:sz w:val="15"/>
              </w:rPr>
              <w:t>Tribe</w:t>
            </w:r>
          </w:p>
        </w:tc>
        <w:tc>
          <w:tcPr>
            <w:tcW w:type="dxa" w:w="1512"/>
            <w:vAlign w:val="center"/>
          </w:tcPr>
          <w:p>
            <w:r>
              <w:rPr>
                <w:b w:val="0"/>
                <w:i w:val="0"/>
                <w:sz w:val="15"/>
              </w:rPr>
              <w:t>Art. 5; Deliv. 5 §4.9</w:t>
            </w:r>
          </w:p>
        </w:tc>
      </w:tr>
      <w:tr>
        <w:tc>
          <w:tcPr>
            <w:tcW w:type="dxa" w:w="3384"/>
            <w:shd w:val="clear" w:color="auto" w:fill="F2F2F2"/>
            <w:vAlign w:val="center"/>
          </w:tcPr>
          <w:p>
            <w:r>
              <w:rPr>
                <w:b w:val="0"/>
                <w:i w:val="0"/>
                <w:sz w:val="15"/>
              </w:rPr>
              <w:t>Build America, Buy America</w:t>
            </w:r>
          </w:p>
        </w:tc>
        <w:tc>
          <w:tcPr>
            <w:tcW w:type="dxa" w:w="3672"/>
            <w:shd w:val="clear" w:color="auto" w:fill="F2F2F2"/>
            <w:vAlign w:val="center"/>
          </w:tcPr>
          <w:p>
            <w:r>
              <w:rPr>
                <w:b w:val="0"/>
                <w:i w:val="0"/>
                <w:sz w:val="15"/>
              </w:rPr>
              <w:t>Build America, Buy America Act, IIJA §§ 70911–70917 (Pub. L. 117-58); 2 CFR Part 184; and NTIA BABA award terms</w:t>
            </w:r>
          </w:p>
        </w:tc>
        <w:tc>
          <w:tcPr>
            <w:tcW w:type="dxa" w:w="2160"/>
            <w:shd w:val="clear" w:color="auto" w:fill="F2F2F2"/>
            <w:vAlign w:val="center"/>
          </w:tcPr>
          <w:p>
            <w:r>
              <w:rPr>
                <w:b w:val="0"/>
                <w:i w:val="0"/>
                <w:sz w:val="15"/>
              </w:rPr>
              <w:t>RIVR Tech (certify)</w:t>
            </w:r>
          </w:p>
        </w:tc>
        <w:tc>
          <w:tcPr>
            <w:tcW w:type="dxa" w:w="1512"/>
            <w:shd w:val="clear" w:color="auto" w:fill="F2F2F2"/>
            <w:vAlign w:val="center"/>
          </w:tcPr>
          <w:p>
            <w:r>
              <w:rPr>
                <w:b w:val="0"/>
                <w:i w:val="0"/>
                <w:sz w:val="15"/>
              </w:rPr>
              <w:t>§6.1</w:t>
            </w:r>
          </w:p>
        </w:tc>
      </w:tr>
      <w:tr>
        <w:tc>
          <w:tcPr>
            <w:tcW w:type="dxa" w:w="3384"/>
            <w:vAlign w:val="center"/>
          </w:tcPr>
          <w:p>
            <w:r>
              <w:rPr>
                <w:b w:val="0"/>
                <w:i w:val="0"/>
                <w:sz w:val="15"/>
              </w:rPr>
              <w:t>Prohibited §889 telecom equipment</w:t>
            </w:r>
          </w:p>
        </w:tc>
        <w:tc>
          <w:tcPr>
            <w:tcW w:type="dxa" w:w="3672"/>
            <w:vAlign w:val="center"/>
          </w:tcPr>
          <w:p>
            <w:r>
              <w:rPr>
                <w:b w:val="0"/>
                <w:i w:val="0"/>
                <w:sz w:val="15"/>
              </w:rPr>
              <w:t>2 CFR 200.216 (Prohibition on certain telecommunications and video surveillance — §889 covered equipment)</w:t>
            </w:r>
          </w:p>
        </w:tc>
        <w:tc>
          <w:tcPr>
            <w:tcW w:type="dxa" w:w="2160"/>
            <w:vAlign w:val="center"/>
          </w:tcPr>
          <w:p>
            <w:r>
              <w:rPr>
                <w:b w:val="0"/>
                <w:i w:val="0"/>
                <w:sz w:val="15"/>
              </w:rPr>
              <w:t>RIVR Tech (certify)</w:t>
            </w:r>
          </w:p>
        </w:tc>
        <w:tc>
          <w:tcPr>
            <w:tcW w:type="dxa" w:w="1512"/>
            <w:vAlign w:val="center"/>
          </w:tcPr>
          <w:p>
            <w:r>
              <w:rPr>
                <w:b w:val="0"/>
                <w:i w:val="0"/>
                <w:sz w:val="15"/>
              </w:rPr>
              <w:t>§6.2</w:t>
            </w:r>
          </w:p>
        </w:tc>
      </w:tr>
      <w:tr>
        <w:tc>
          <w:tcPr>
            <w:tcW w:type="dxa" w:w="3384"/>
            <w:shd w:val="clear" w:color="auto" w:fill="F2F2F2"/>
            <w:vAlign w:val="center"/>
          </w:tcPr>
          <w:p>
            <w:r>
              <w:rPr>
                <w:b w:val="0"/>
                <w:i w:val="0"/>
                <w:sz w:val="15"/>
              </w:rPr>
              <w:t>NEPA environmental review</w:t>
            </w:r>
          </w:p>
        </w:tc>
        <w:tc>
          <w:tcPr>
            <w:tcW w:type="dxa" w:w="3672"/>
            <w:shd w:val="clear" w:color="auto" w:fill="F2F2F2"/>
            <w:vAlign w:val="center"/>
          </w:tcPr>
          <w:p>
            <w:r>
              <w:rPr>
                <w:b w:val="0"/>
                <w:i w:val="0"/>
                <w:sz w:val="15"/>
              </w:rPr>
              <w:t>National Environmental Policy Act (NEPA), 42 U.S.C. § 4321 et seq., and DOC/NTIA implementing procedures</w:t>
            </w:r>
          </w:p>
        </w:tc>
        <w:tc>
          <w:tcPr>
            <w:tcW w:type="dxa" w:w="2160"/>
            <w:shd w:val="clear" w:color="auto" w:fill="F2F2F2"/>
            <w:vAlign w:val="center"/>
          </w:tcPr>
          <w:p>
            <w:r>
              <w:rPr>
                <w:b w:val="0"/>
                <w:i w:val="0"/>
                <w:sz w:val="15"/>
              </w:rPr>
              <w:t>Tribe + NTIA</w:t>
            </w:r>
          </w:p>
        </w:tc>
        <w:tc>
          <w:tcPr>
            <w:tcW w:type="dxa" w:w="1512"/>
            <w:shd w:val="clear" w:color="auto" w:fill="F2F2F2"/>
            <w:vAlign w:val="center"/>
          </w:tcPr>
          <w:p>
            <w:r>
              <w:rPr>
                <w:b w:val="0"/>
                <w:i w:val="0"/>
                <w:sz w:val="15"/>
              </w:rPr>
              <w:t>§7.1, 7.3</w:t>
            </w:r>
          </w:p>
        </w:tc>
      </w:tr>
      <w:tr>
        <w:tc>
          <w:tcPr>
            <w:tcW w:type="dxa" w:w="3384"/>
            <w:vAlign w:val="center"/>
          </w:tcPr>
          <w:p>
            <w:r>
              <w:rPr>
                <w:b w:val="0"/>
                <w:i w:val="0"/>
                <w:sz w:val="15"/>
              </w:rPr>
              <w:t>NHPA §106 historic preservation</w:t>
            </w:r>
          </w:p>
        </w:tc>
        <w:tc>
          <w:tcPr>
            <w:tcW w:type="dxa" w:w="3672"/>
            <w:vAlign w:val="center"/>
          </w:tcPr>
          <w:p>
            <w:r>
              <w:rPr>
                <w:b w:val="0"/>
                <w:i w:val="0"/>
                <w:sz w:val="15"/>
              </w:rPr>
              <w:t>National Historic Preservation Act § 106, 54 U.S.C. § 306108 (36 CFR Part 800)</w:t>
            </w:r>
          </w:p>
        </w:tc>
        <w:tc>
          <w:tcPr>
            <w:tcW w:type="dxa" w:w="2160"/>
            <w:vAlign w:val="center"/>
          </w:tcPr>
          <w:p>
            <w:r>
              <w:rPr>
                <w:b w:val="0"/>
                <w:i w:val="0"/>
                <w:sz w:val="15"/>
              </w:rPr>
              <w:t>Tribe + NTIA</w:t>
            </w:r>
          </w:p>
        </w:tc>
        <w:tc>
          <w:tcPr>
            <w:tcW w:type="dxa" w:w="1512"/>
            <w:vAlign w:val="center"/>
          </w:tcPr>
          <w:p>
            <w:r>
              <w:rPr>
                <w:b w:val="0"/>
                <w:i w:val="0"/>
                <w:sz w:val="15"/>
              </w:rPr>
              <w:t>§7.2, 7.3</w:t>
            </w:r>
          </w:p>
        </w:tc>
      </w:tr>
      <w:tr>
        <w:tc>
          <w:tcPr>
            <w:tcW w:type="dxa" w:w="3384"/>
            <w:shd w:val="clear" w:color="auto" w:fill="F2F2F2"/>
            <w:vAlign w:val="center"/>
          </w:tcPr>
          <w:p>
            <w:r>
              <w:rPr>
                <w:b w:val="0"/>
                <w:i w:val="0"/>
                <w:sz w:val="15"/>
              </w:rPr>
              <w:t>No construction before clearance / NTIA authorization</w:t>
            </w:r>
          </w:p>
        </w:tc>
        <w:tc>
          <w:tcPr>
            <w:tcW w:type="dxa" w:w="3672"/>
            <w:shd w:val="clear" w:color="auto" w:fill="F2F2F2"/>
            <w:vAlign w:val="center"/>
          </w:tcPr>
          <w:p>
            <w:r>
              <w:rPr>
                <w:b w:val="0"/>
                <w:i w:val="0"/>
                <w:sz w:val="15"/>
              </w:rPr>
              <w:t>NTIA Standard Terms and Conditions and Specific Award Conditions</w:t>
            </w:r>
          </w:p>
        </w:tc>
        <w:tc>
          <w:tcPr>
            <w:tcW w:type="dxa" w:w="2160"/>
            <w:shd w:val="clear" w:color="auto" w:fill="F2F2F2"/>
            <w:vAlign w:val="center"/>
          </w:tcPr>
          <w:p>
            <w:r>
              <w:rPr>
                <w:b w:val="0"/>
                <w:i w:val="0"/>
                <w:sz w:val="15"/>
              </w:rPr>
              <w:t>RIVR Tech</w:t>
            </w:r>
          </w:p>
        </w:tc>
        <w:tc>
          <w:tcPr>
            <w:tcW w:type="dxa" w:w="1512"/>
            <w:shd w:val="clear" w:color="auto" w:fill="F2F2F2"/>
            <w:vAlign w:val="center"/>
          </w:tcPr>
          <w:p>
            <w:r>
              <w:rPr>
                <w:b w:val="0"/>
                <w:i w:val="0"/>
                <w:sz w:val="15"/>
              </w:rPr>
              <w:t>§7.3</w:t>
            </w:r>
          </w:p>
        </w:tc>
      </w:tr>
      <w:tr>
        <w:tc>
          <w:tcPr>
            <w:tcW w:type="dxa" w:w="3384"/>
            <w:vAlign w:val="center"/>
          </w:tcPr>
          <w:p>
            <w:r>
              <w:rPr>
                <w:b w:val="0"/>
                <w:i w:val="0"/>
                <w:sz w:val="15"/>
              </w:rPr>
              <w:t>Service floor &amp; low-cost option</w:t>
            </w:r>
          </w:p>
        </w:tc>
        <w:tc>
          <w:tcPr>
            <w:tcW w:type="dxa" w:w="3672"/>
            <w:vAlign w:val="center"/>
          </w:tcPr>
          <w:p>
            <w:r>
              <w:rPr>
                <w:b w:val="0"/>
                <w:i w:val="0"/>
                <w:sz w:val="15"/>
              </w:rPr>
              <w:t>TBCP Round 3 Notice of Funding Opportunity (NTIA, June 2026)</w:t>
            </w:r>
          </w:p>
        </w:tc>
        <w:tc>
          <w:tcPr>
            <w:tcW w:type="dxa" w:w="2160"/>
            <w:vAlign w:val="center"/>
          </w:tcPr>
          <w:p>
            <w:r>
              <w:rPr>
                <w:b w:val="0"/>
                <w:i w:val="0"/>
                <w:sz w:val="15"/>
              </w:rPr>
              <w:t>RIVR Tech</w:t>
            </w:r>
          </w:p>
        </w:tc>
        <w:tc>
          <w:tcPr>
            <w:tcW w:type="dxa" w:w="1512"/>
            <w:vAlign w:val="center"/>
          </w:tcPr>
          <w:p>
            <w:r>
              <w:rPr>
                <w:b w:val="0"/>
                <w:i w:val="0"/>
                <w:sz w:val="15"/>
              </w:rPr>
              <w:t>§8.1</w:t>
            </w:r>
          </w:p>
        </w:tc>
      </w:tr>
      <w:tr>
        <w:tc>
          <w:tcPr>
            <w:tcW w:type="dxa" w:w="3384"/>
            <w:shd w:val="clear" w:color="auto" w:fill="F2F2F2"/>
            <w:vAlign w:val="center"/>
          </w:tcPr>
          <w:p>
            <w:r>
              <w:rPr>
                <w:b w:val="0"/>
                <w:i w:val="0"/>
                <w:sz w:val="15"/>
              </w:rPr>
              <w:t>Duplication of funding</w:t>
            </w:r>
          </w:p>
        </w:tc>
        <w:tc>
          <w:tcPr>
            <w:tcW w:type="dxa" w:w="3672"/>
            <w:shd w:val="clear" w:color="auto" w:fill="F2F2F2"/>
            <w:vAlign w:val="center"/>
          </w:tcPr>
          <w:p>
            <w:r>
              <w:rPr>
                <w:b w:val="0"/>
                <w:i w:val="0"/>
                <w:sz w:val="15"/>
              </w:rPr>
              <w:t>TBCP Round 3 Notice of Funding Opportunity (NTIA, June 2026)</w:t>
            </w:r>
          </w:p>
        </w:tc>
        <w:tc>
          <w:tcPr>
            <w:tcW w:type="dxa" w:w="2160"/>
            <w:shd w:val="clear" w:color="auto" w:fill="F2F2F2"/>
            <w:vAlign w:val="center"/>
          </w:tcPr>
          <w:p>
            <w:r>
              <w:rPr>
                <w:b w:val="0"/>
                <w:i w:val="0"/>
                <w:sz w:val="15"/>
              </w:rPr>
              <w:t>Parties</w:t>
            </w:r>
          </w:p>
        </w:tc>
        <w:tc>
          <w:tcPr>
            <w:tcW w:type="dxa" w:w="1512"/>
            <w:shd w:val="clear" w:color="auto" w:fill="F2F2F2"/>
            <w:vAlign w:val="center"/>
          </w:tcPr>
          <w:p>
            <w:r>
              <w:rPr>
                <w:b w:val="0"/>
                <w:i w:val="0"/>
                <w:sz w:val="15"/>
              </w:rPr>
              <w:t>§8.2</w:t>
            </w:r>
          </w:p>
        </w:tc>
      </w:tr>
      <w:tr>
        <w:tc>
          <w:tcPr>
            <w:tcW w:type="dxa" w:w="3384"/>
            <w:vAlign w:val="center"/>
          </w:tcPr>
          <w:p>
            <w:r>
              <w:rPr>
                <w:b w:val="0"/>
                <w:i w:val="0"/>
                <w:sz w:val="15"/>
              </w:rPr>
              <w:t>Audit access &amp; single audit</w:t>
            </w:r>
          </w:p>
        </w:tc>
        <w:tc>
          <w:tcPr>
            <w:tcW w:type="dxa" w:w="3672"/>
            <w:vAlign w:val="center"/>
          </w:tcPr>
          <w:p>
            <w:r>
              <w:rPr>
                <w:b w:val="0"/>
                <w:i w:val="0"/>
                <w:sz w:val="15"/>
              </w:rPr>
              <w:t>2 CFR Part 200, Subpart F (Audit Requirements; single-audit threshold $1,000,000)</w:t>
            </w:r>
          </w:p>
        </w:tc>
        <w:tc>
          <w:tcPr>
            <w:tcW w:type="dxa" w:w="2160"/>
            <w:vAlign w:val="center"/>
          </w:tcPr>
          <w:p>
            <w:r>
              <w:rPr>
                <w:b w:val="0"/>
                <w:i w:val="0"/>
                <w:sz w:val="15"/>
              </w:rPr>
              <w:t>Tribe; RIVR Tech</w:t>
            </w:r>
          </w:p>
        </w:tc>
        <w:tc>
          <w:tcPr>
            <w:tcW w:type="dxa" w:w="1512"/>
            <w:vAlign w:val="center"/>
          </w:tcPr>
          <w:p>
            <w:r>
              <w:rPr>
                <w:b w:val="0"/>
                <w:i w:val="0"/>
                <w:sz w:val="15"/>
              </w:rPr>
              <w:t>§9.1</w:t>
            </w:r>
          </w:p>
        </w:tc>
      </w:tr>
      <w:tr>
        <w:tc>
          <w:tcPr>
            <w:tcW w:type="dxa" w:w="3384"/>
            <w:shd w:val="clear" w:color="auto" w:fill="F2F2F2"/>
            <w:vAlign w:val="center"/>
          </w:tcPr>
          <w:p>
            <w:r>
              <w:rPr>
                <w:b w:val="0"/>
                <w:i w:val="0"/>
                <w:sz w:val="15"/>
              </w:rPr>
              <w:t>Record retention (3 years)</w:t>
            </w:r>
          </w:p>
        </w:tc>
        <w:tc>
          <w:tcPr>
            <w:tcW w:type="dxa" w:w="3672"/>
            <w:shd w:val="clear" w:color="auto" w:fill="F2F2F2"/>
            <w:vAlign w:val="center"/>
          </w:tcPr>
          <w:p>
            <w:r>
              <w:rPr>
                <w:b w:val="0"/>
                <w:i w:val="0"/>
                <w:sz w:val="15"/>
              </w:rPr>
              <w:t>2 CFR 200.334–200.337 (Record retention and access; three-year retention)</w:t>
            </w:r>
          </w:p>
        </w:tc>
        <w:tc>
          <w:tcPr>
            <w:tcW w:type="dxa" w:w="2160"/>
            <w:shd w:val="clear" w:color="auto" w:fill="F2F2F2"/>
            <w:vAlign w:val="center"/>
          </w:tcPr>
          <w:p>
            <w:r>
              <w:rPr>
                <w:b w:val="0"/>
                <w:i w:val="0"/>
                <w:sz w:val="15"/>
              </w:rPr>
              <w:t>Tribe; RIVR Tech</w:t>
            </w:r>
          </w:p>
        </w:tc>
        <w:tc>
          <w:tcPr>
            <w:tcW w:type="dxa" w:w="1512"/>
            <w:shd w:val="clear" w:color="auto" w:fill="F2F2F2"/>
            <w:vAlign w:val="center"/>
          </w:tcPr>
          <w:p>
            <w:r>
              <w:rPr>
                <w:b w:val="0"/>
                <w:i w:val="0"/>
                <w:sz w:val="15"/>
              </w:rPr>
              <w:t>§9.2; Deliv. 5 §4.4</w:t>
            </w:r>
          </w:p>
        </w:tc>
      </w:tr>
      <w:tr>
        <w:tc>
          <w:tcPr>
            <w:tcW w:type="dxa" w:w="3384"/>
            <w:vAlign w:val="center"/>
          </w:tcPr>
          <w:p>
            <w:r>
              <w:rPr>
                <w:b w:val="0"/>
                <w:i w:val="0"/>
                <w:sz w:val="15"/>
              </w:rPr>
              <w:t>Reporting (semi-annual / annual)</w:t>
            </w:r>
          </w:p>
        </w:tc>
        <w:tc>
          <w:tcPr>
            <w:tcW w:type="dxa" w:w="3672"/>
            <w:vAlign w:val="center"/>
          </w:tcPr>
          <w:p>
            <w:r>
              <w:rPr>
                <w:b w:val="0"/>
                <w:i w:val="0"/>
                <w:sz w:val="15"/>
              </w:rPr>
              <w:t>NTIA Standard Terms and Conditions and Specific Award Conditions</w:t>
            </w:r>
          </w:p>
        </w:tc>
        <w:tc>
          <w:tcPr>
            <w:tcW w:type="dxa" w:w="2160"/>
            <w:vAlign w:val="center"/>
          </w:tcPr>
          <w:p>
            <w:r>
              <w:rPr>
                <w:b w:val="0"/>
                <w:i w:val="0"/>
                <w:sz w:val="15"/>
              </w:rPr>
              <w:t>Tribe (with RIVR Tech data)</w:t>
            </w:r>
          </w:p>
        </w:tc>
        <w:tc>
          <w:tcPr>
            <w:tcW w:type="dxa" w:w="1512"/>
            <w:vAlign w:val="center"/>
          </w:tcPr>
          <w:p>
            <w:r>
              <w:rPr>
                <w:b w:val="0"/>
                <w:i w:val="0"/>
                <w:sz w:val="15"/>
              </w:rPr>
              <w:t>§9.3</w:t>
            </w:r>
          </w:p>
        </w:tc>
      </w:tr>
      <w:tr>
        <w:tc>
          <w:tcPr>
            <w:tcW w:type="dxa" w:w="3384"/>
            <w:shd w:val="clear" w:color="auto" w:fill="F2F2F2"/>
            <w:vAlign w:val="center"/>
          </w:tcPr>
          <w:p>
            <w:r>
              <w:rPr>
                <w:b w:val="0"/>
                <w:i w:val="0"/>
                <w:sz w:val="15"/>
              </w:rPr>
              <w:t>Allowable costs &amp; cost allocation</w:t>
            </w:r>
          </w:p>
        </w:tc>
        <w:tc>
          <w:tcPr>
            <w:tcW w:type="dxa" w:w="3672"/>
            <w:shd w:val="clear" w:color="auto" w:fill="F2F2F2"/>
            <w:vAlign w:val="center"/>
          </w:tcPr>
          <w:p>
            <w:r>
              <w:rPr>
                <w:b w:val="0"/>
                <w:i w:val="0"/>
                <w:sz w:val="15"/>
              </w:rPr>
              <w:t>2 CFR Part 200, Subpart E (Cost Principles — allowability, allocability, reasonableness)</w:t>
            </w:r>
          </w:p>
        </w:tc>
        <w:tc>
          <w:tcPr>
            <w:tcW w:type="dxa" w:w="2160"/>
            <w:shd w:val="clear" w:color="auto" w:fill="F2F2F2"/>
            <w:vAlign w:val="center"/>
          </w:tcPr>
          <w:p>
            <w:r>
              <w:rPr>
                <w:b w:val="0"/>
                <w:i w:val="0"/>
                <w:sz w:val="15"/>
              </w:rPr>
              <w:t>Tribe; RIVR Tech</w:t>
            </w:r>
          </w:p>
        </w:tc>
        <w:tc>
          <w:tcPr>
            <w:tcW w:type="dxa" w:w="1512"/>
            <w:shd w:val="clear" w:color="auto" w:fill="F2F2F2"/>
            <w:vAlign w:val="center"/>
          </w:tcPr>
          <w:p>
            <w:r>
              <w:rPr>
                <w:b w:val="0"/>
                <w:i w:val="0"/>
                <w:sz w:val="15"/>
              </w:rPr>
              <w:t>§9.4</w:t>
            </w:r>
          </w:p>
        </w:tc>
      </w:tr>
      <w:tr>
        <w:tc>
          <w:tcPr>
            <w:tcW w:type="dxa" w:w="3384"/>
            <w:vAlign w:val="center"/>
          </w:tcPr>
          <w:p>
            <w:r>
              <w:rPr>
                <w:b w:val="0"/>
                <w:i w:val="0"/>
                <w:sz w:val="15"/>
              </w:rPr>
              <w:t>Asset disposition (≥ $10,000 threshold)</w:t>
            </w:r>
          </w:p>
        </w:tc>
        <w:tc>
          <w:tcPr>
            <w:tcW w:type="dxa" w:w="3672"/>
            <w:vAlign w:val="center"/>
          </w:tcPr>
          <w:p>
            <w:r>
              <w:rPr>
                <w:b w:val="0"/>
                <w:i w:val="0"/>
                <w:sz w:val="15"/>
              </w:rPr>
              <w:t>2 CFR 200.313 (Equipment — use, management, and disposition)</w:t>
            </w:r>
          </w:p>
        </w:tc>
        <w:tc>
          <w:tcPr>
            <w:tcW w:type="dxa" w:w="2160"/>
            <w:vAlign w:val="center"/>
          </w:tcPr>
          <w:p>
            <w:r>
              <w:rPr>
                <w:b w:val="0"/>
                <w:i w:val="0"/>
                <w:sz w:val="15"/>
              </w:rPr>
              <w:t>Tribe + NTIA instructions</w:t>
            </w:r>
          </w:p>
        </w:tc>
        <w:tc>
          <w:tcPr>
            <w:tcW w:type="dxa" w:w="1512"/>
            <w:vAlign w:val="center"/>
          </w:tcPr>
          <w:p>
            <w:r>
              <w:rPr>
                <w:b w:val="0"/>
                <w:i w:val="0"/>
                <w:sz w:val="15"/>
              </w:rPr>
              <w:t>Art. 10</w:t>
            </w:r>
          </w:p>
        </w:tc>
      </w:tr>
      <w:tr>
        <w:tc>
          <w:tcPr>
            <w:tcW w:type="dxa" w:w="3384"/>
            <w:shd w:val="clear" w:color="auto" w:fill="F2F2F2"/>
            <w:vAlign w:val="center"/>
          </w:tcPr>
          <w:p>
            <w:r>
              <w:rPr>
                <w:b w:val="0"/>
                <w:i w:val="0"/>
                <w:sz w:val="15"/>
              </w:rPr>
              <w:t>Sale/lease/assignment/encumbrance restriction; IRU structuring</w:t>
            </w:r>
          </w:p>
        </w:tc>
        <w:tc>
          <w:tcPr>
            <w:tcW w:type="dxa" w:w="3672"/>
            <w:shd w:val="clear" w:color="auto" w:fill="F2F2F2"/>
            <w:vAlign w:val="center"/>
          </w:tcPr>
          <w:p>
            <w:r>
              <w:rPr>
                <w:b w:val="0"/>
                <w:i w:val="0"/>
                <w:sz w:val="15"/>
              </w:rPr>
              <w:t>2 CFR 200.311 (Real property — use, encumbrance, and disposition)</w:t>
            </w:r>
          </w:p>
        </w:tc>
        <w:tc>
          <w:tcPr>
            <w:tcW w:type="dxa" w:w="2160"/>
            <w:shd w:val="clear" w:color="auto" w:fill="F2F2F2"/>
            <w:vAlign w:val="center"/>
          </w:tcPr>
          <w:p>
            <w:r>
              <w:rPr>
                <w:b w:val="0"/>
                <w:i w:val="0"/>
                <w:sz w:val="15"/>
              </w:rPr>
              <w:t>Tribe + NTIA prior approval</w:t>
            </w:r>
          </w:p>
        </w:tc>
        <w:tc>
          <w:tcPr>
            <w:tcW w:type="dxa" w:w="1512"/>
            <w:shd w:val="clear" w:color="auto" w:fill="F2F2F2"/>
            <w:vAlign w:val="center"/>
          </w:tcPr>
          <w:p>
            <w:r>
              <w:rPr>
                <w:b w:val="0"/>
                <w:i w:val="0"/>
                <w:sz w:val="15"/>
              </w:rPr>
              <w:t>§10.2</w:t>
            </w:r>
          </w:p>
        </w:tc>
      </w:tr>
      <w:tr>
        <w:tc>
          <w:tcPr>
            <w:tcW w:type="dxa" w:w="3384"/>
            <w:vAlign w:val="center"/>
          </w:tcPr>
          <w:p>
            <w:r>
              <w:rPr>
                <w:b w:val="0"/>
                <w:i w:val="0"/>
                <w:sz w:val="15"/>
              </w:rPr>
              <w:t>Remedies for noncompliance</w:t>
            </w:r>
          </w:p>
        </w:tc>
        <w:tc>
          <w:tcPr>
            <w:tcW w:type="dxa" w:w="3672"/>
            <w:vAlign w:val="center"/>
          </w:tcPr>
          <w:p>
            <w:r>
              <w:rPr>
                <w:b w:val="0"/>
                <w:i w:val="0"/>
                <w:sz w:val="15"/>
              </w:rPr>
              <w:t>2 CFR 200.339–200.343 (Remedies for noncompliance; termination)</w:t>
            </w:r>
          </w:p>
        </w:tc>
        <w:tc>
          <w:tcPr>
            <w:tcW w:type="dxa" w:w="2160"/>
            <w:vAlign w:val="center"/>
          </w:tcPr>
          <w:p>
            <w:r>
              <w:rPr>
                <w:b w:val="0"/>
                <w:i w:val="0"/>
                <w:sz w:val="15"/>
              </w:rPr>
              <w:t>Tribe; RIVR Tech</w:t>
            </w:r>
          </w:p>
        </w:tc>
        <w:tc>
          <w:tcPr>
            <w:tcW w:type="dxa" w:w="1512"/>
            <w:vAlign w:val="center"/>
          </w:tcPr>
          <w:p>
            <w:r>
              <w:rPr>
                <w:b w:val="0"/>
                <w:i w:val="0"/>
                <w:sz w:val="15"/>
              </w:rPr>
              <w:t>§11.1</w:t>
            </w:r>
          </w:p>
        </w:tc>
      </w:tr>
      <w:tr>
        <w:tc>
          <w:tcPr>
            <w:tcW w:type="dxa" w:w="3384"/>
            <w:shd w:val="clear" w:color="auto" w:fill="F2F2F2"/>
            <w:vAlign w:val="center"/>
          </w:tcPr>
          <w:p>
            <w:r>
              <w:rPr>
                <w:b w:val="0"/>
                <w:i w:val="0"/>
                <w:sz w:val="15"/>
              </w:rPr>
              <w:t>Flow-down to subcontractors</w:t>
            </w:r>
          </w:p>
        </w:tc>
        <w:tc>
          <w:tcPr>
            <w:tcW w:type="dxa" w:w="3672"/>
            <w:shd w:val="clear" w:color="auto" w:fill="F2F2F2"/>
            <w:vAlign w:val="center"/>
          </w:tcPr>
          <w:p>
            <w:r>
              <w:rPr>
                <w:b w:val="0"/>
                <w:i w:val="0"/>
                <w:sz w:val="15"/>
              </w:rPr>
              <w:t>2 CFR 200.332 (Requirements for pass-through entities)</w:t>
            </w:r>
          </w:p>
        </w:tc>
        <w:tc>
          <w:tcPr>
            <w:tcW w:type="dxa" w:w="2160"/>
            <w:shd w:val="clear" w:color="auto" w:fill="F2F2F2"/>
            <w:vAlign w:val="center"/>
          </w:tcPr>
          <w:p>
            <w:r>
              <w:rPr>
                <w:b w:val="0"/>
                <w:i w:val="0"/>
                <w:sz w:val="15"/>
              </w:rPr>
              <w:t>RIVR Tech</w:t>
            </w:r>
          </w:p>
        </w:tc>
        <w:tc>
          <w:tcPr>
            <w:tcW w:type="dxa" w:w="1512"/>
            <w:shd w:val="clear" w:color="auto" w:fill="F2F2F2"/>
            <w:vAlign w:val="center"/>
          </w:tcPr>
          <w:p>
            <w:r>
              <w:rPr>
                <w:b w:val="0"/>
                <w:i w:val="0"/>
                <w:sz w:val="15"/>
              </w:rPr>
              <w:t>§11.2</w:t>
            </w:r>
          </w:p>
        </w:tc>
      </w:tr>
      <w:tr>
        <w:tc>
          <w:tcPr>
            <w:tcW w:type="dxa" w:w="3384"/>
            <w:vAlign w:val="center"/>
          </w:tcPr>
          <w:p>
            <w:r>
              <w:rPr>
                <w:b w:val="0"/>
                <w:i w:val="0"/>
                <w:sz w:val="15"/>
              </w:rPr>
              <w:t>Lumbee recognition / eligibility predicate</w:t>
            </w:r>
          </w:p>
        </w:tc>
        <w:tc>
          <w:tcPr>
            <w:tcW w:type="dxa" w:w="3672"/>
            <w:vAlign w:val="center"/>
          </w:tcPr>
          <w:p>
            <w:r>
              <w:rPr>
                <w:b w:val="0"/>
                <w:i w:val="0"/>
                <w:sz w:val="15"/>
              </w:rPr>
              <w:t>Lumbee Act of 1956, Pub. L. 84-570, 70 Stat. 254 (federal-recognition status affecting TBCP eligibility)</w:t>
            </w:r>
          </w:p>
        </w:tc>
        <w:tc>
          <w:tcPr>
            <w:tcW w:type="dxa" w:w="2160"/>
            <w:vAlign w:val="center"/>
          </w:tcPr>
          <w:p>
            <w:r>
              <w:rPr>
                <w:b w:val="0"/>
                <w:i w:val="0"/>
                <w:sz w:val="15"/>
              </w:rPr>
              <w:t>Tribe + counsel + NTIA</w:t>
            </w:r>
          </w:p>
        </w:tc>
        <w:tc>
          <w:tcPr>
            <w:tcW w:type="dxa" w:w="1512"/>
            <w:vAlign w:val="center"/>
          </w:tcPr>
          <w:p>
            <w:r>
              <w:rPr>
                <w:b w:val="0"/>
                <w:i w:val="0"/>
                <w:sz w:val="15"/>
              </w:rPr>
              <w:t>§1.3</w:t>
            </w:r>
          </w:p>
        </w:tc>
      </w:tr>
      <w:tr>
        <w:tc>
          <w:tcPr>
            <w:tcW w:type="dxa" w:w="3384"/>
            <w:shd w:val="clear" w:color="auto" w:fill="F2F2F2"/>
            <w:vAlign w:val="center"/>
          </w:tcPr>
          <w:p>
            <w:r>
              <w:rPr>
                <w:b w:val="0"/>
                <w:i w:val="0"/>
                <w:sz w:val="15"/>
              </w:rPr>
              <w:t>Order of precedence (Award &amp; 2 CFR 200 control)</w:t>
            </w:r>
          </w:p>
        </w:tc>
        <w:tc>
          <w:tcPr>
            <w:tcW w:type="dxa" w:w="3672"/>
            <w:shd w:val="clear" w:color="auto" w:fill="F2F2F2"/>
            <w:vAlign w:val="center"/>
          </w:tcPr>
          <w:p>
            <w:r>
              <w:rPr>
                <w:b w:val="0"/>
                <w:i w:val="0"/>
                <w:sz w:val="15"/>
              </w:rPr>
              <w:t>2 CFR Part 200 (Uniform Administrative Requirements, Cost Principles, and Audit Requirements for Federal Awards)</w:t>
            </w:r>
          </w:p>
        </w:tc>
        <w:tc>
          <w:tcPr>
            <w:tcW w:type="dxa" w:w="2160"/>
            <w:shd w:val="clear" w:color="auto" w:fill="F2F2F2"/>
            <w:vAlign w:val="center"/>
          </w:tcPr>
          <w:p>
            <w:r>
              <w:rPr>
                <w:b w:val="0"/>
                <w:i w:val="0"/>
                <w:sz w:val="15"/>
              </w:rPr>
              <w:t>Parties</w:t>
            </w:r>
          </w:p>
        </w:tc>
        <w:tc>
          <w:tcPr>
            <w:tcW w:type="dxa" w:w="1512"/>
            <w:shd w:val="clear" w:color="auto" w:fill="F2F2F2"/>
            <w:vAlign w:val="center"/>
          </w:tcPr>
          <w:p>
            <w:r>
              <w:rPr>
                <w:b w:val="0"/>
                <w:i w:val="0"/>
                <w:sz w:val="15"/>
              </w:rPr>
              <w:t>§1.4, 11.3</w:t>
            </w:r>
          </w:p>
        </w:tc>
      </w:tr>
    </w:tbl>
    <w:p/>
    <w:p>
      <w:pPr>
        <w:pStyle w:val="Heading2"/>
        <w:spacing w:before="160" w:after="60"/>
      </w:pPr>
      <w:r>
        <w:rPr>
          <w:rFonts w:ascii="Calibri" w:hAnsi="Calibri"/>
          <w:b/>
          <w:color w:val="000000"/>
          <w:sz w:val="22"/>
        </w:rPr>
        <w:t>12.1  Acknowledgment</w:t>
      </w:r>
    </w:p>
    <w:p>
      <w:r>
        <w:rPr>
          <w:b w:val="0"/>
          <w:i w:val="0"/>
        </w:rPr>
        <w:t>Each Party acknowledges that it has read this Addendum, understands that the TBCP Award and 2 CFR Part 200 (Uniform Administrative Requirements, Cost Principles, and Audit Requirements for Federal Awards) control over any conflicting commercial term, and agrees to perform its obligations so as to preserve the Federal Interest in, and the Tribe’s title to, the Tribal Assets. This Addendum does not constitute legal or grant-compliance advice and remains subject to review by the Parties’ respective counsel and by NTIA.</w:t>
      </w:r>
    </w:p>
    <w:p/>
    <w:p>
      <w:r>
        <w:rPr>
          <w:i/>
        </w:rPr>
        <w:t>IN WITNESS WHEREOF, the Parties have caused this instrument to be executed by their duly authorized representatives as of the Effective Date.</w:t>
      </w:r>
    </w:p>
    <w:p/>
    <w:p>
      <w:r>
        <w:rPr>
          <w:b/>
          <w:color w:val="1F3864"/>
        </w:rPr>
        <w:t>Lumbee Tribe of North Carolina</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Tribal signatory]</w:t>
      </w:r>
    </w:p>
    <w:p>
      <w:pPr>
        <w:ind w:left="360"/>
      </w:pPr>
      <w:r>
        <w:rPr>
          <w:b/>
        </w:rPr>
        <w:t xml:space="preserve">Title:  </w:t>
      </w:r>
      <w:r>
        <w:rPr>
          <w:b w:val="0"/>
          <w:i w:val="0"/>
          <w:color w:val="804000"/>
          <w:highlight w:val="yellow"/>
        </w:rPr>
        <w:t>[■ e.g., Chairman, Lumbee Tribal Council / Tribal Administrator]</w:t>
      </w:r>
    </w:p>
    <w:p>
      <w:pPr>
        <w:ind w:left="360"/>
      </w:pPr>
      <w:r>
        <w:rPr>
          <w:b/>
        </w:rPr>
        <w:t xml:space="preserve">Date:  </w:t>
      </w:r>
      <w:r>
        <w:rPr>
          <w:b w:val="0"/>
          <w:i w:val="0"/>
        </w:rPr>
        <w:t>____________________________________</w:t>
      </w:r>
    </w:p>
    <w:p/>
    <w:p>
      <w:r>
        <w:rPr>
          <w:b/>
          <w:color w:val="1F3864"/>
        </w:rPr>
        <w:t>LREMC Technologies, LLC d/b/a RIVR Tech</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RIVR Tech signatory]</w:t>
      </w:r>
    </w:p>
    <w:p>
      <w:pPr>
        <w:ind w:left="360"/>
      </w:pPr>
      <w:r>
        <w:rPr>
          <w:b/>
        </w:rPr>
        <w:t xml:space="preserve">Title:  </w:t>
      </w:r>
      <w:r>
        <w:rPr>
          <w:b w:val="0"/>
          <w:i w:val="0"/>
          <w:color w:val="804000"/>
          <w:highlight w:val="yellow"/>
        </w:rPr>
        <w:t>[■ e.g., Chief Executive Officer / Manager]</w:t>
      </w:r>
    </w:p>
    <w:p>
      <w:pPr>
        <w:ind w:left="360"/>
      </w:pPr>
      <w:r>
        <w:rPr>
          <w:b/>
        </w:rPr>
        <w:t xml:space="preserve">Date:  </w:t>
      </w:r>
      <w:r>
        <w:rPr>
          <w:b w:val="0"/>
          <w:i w:val="0"/>
        </w:rPr>
        <w:t>____________________________________</w:t>
      </w:r>
    </w:p>
    <w:p/>
    <w:p>
      <w:pPr>
        <w:ind w:left="504"/>
      </w:pPr>
      <w:r>
        <w:rPr>
          <w:b/>
          <w:color w:val="0000C0"/>
        </w:rPr>
        <w:t xml:space="preserve">[ATTORNEY REVIEW REQUIRED]  </w:t>
      </w:r>
      <w:r>
        <w:rPr>
          <w:i/>
          <w:color w:val="595959"/>
        </w:rPr>
        <w:t>This Addendum must be confirmed by grant counsel and, where indicated, by NTIA before execution. The contractor-vs-subrecipient determination, the Lumbee eligibility predicate, and the IRU disposition/encumbrance structuring are gating items.</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Draft v0.1 | July 16,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TBCP Grant Compliance &amp; Federal Interest Addendum  —  DRAFT FOR DISCUSSION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