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Document 7 (Schedule 02.07 to the Master Agreement)</w:t>
      </w:r>
    </w:p>
    <w:p>
      <w:pPr>
        <w:jc w:val="center"/>
      </w:pPr>
      <w:r>
        <w:rPr>
          <w:b/>
          <w:color w:val="1F3864"/>
          <w:sz w:val="48"/>
        </w:rPr>
        <w:t>Transition, Step-In &amp; Successor Operator Plan</w:t>
      </w:r>
    </w:p>
    <w:p>
      <w:pPr>
        <w:jc w:val="center"/>
      </w:pPr>
      <w:r>
        <w:rPr>
          <w:color w:val="595959"/>
          <w:sz w:val="28"/>
        </w:rPr>
        <w:t>Triggering Events, Cure, Emergency Tribal Step-In, Transition Assistance and Asset Protection</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DRAFT FOR DISCUSSION – SUBJECT TO LEGAL, GRANT AND FINANCIAL REVIEW</w:t>
      </w:r>
    </w:p>
    <w:p/>
    <w:p>
      <w:r>
        <w:rPr>
          <w:b w:val="0"/>
          <w:i w:val="0"/>
        </w:rPr>
        <w:t xml:space="preserve">This Transition, Step-In and Successor Operator Plan (this “Plan”) is entered into as of </w:t>
      </w:r>
      <w:r>
        <w:rPr>
          <w:b w:val="0"/>
          <w:i w:val="0"/>
          <w:color w:val="804000"/>
          <w:highlight w:val="yellow"/>
        </w:rPr>
        <w:t>[■ Effective Date — conform to Master Agreement]</w:t>
      </w:r>
      <w:r>
        <w:rPr>
          <w:b w:val="0"/>
          <w:i w:val="0"/>
        </w:rPr>
        <w:t xml:space="preserve"> (the “Effective Date”), by and between Lumbee Tribe of North Carolina (the “Tribe”), or a wholly owned Tribal entity or Tribally chartered instrumentality designated by the Tribe, and LREMC Technologies, LLC d/b/a RIVR Tech (“RIVR Tech”). This Plan is Schedule 02.07 to, and is incorporated by reference into, the Master IRU and Network Operations Agreement (the “Master Agreement,” Document 02.01) and is read together with the O&amp;M/SLA (Document 02.03) and the Data Privacy &amp; Cybersecurity Addendum (Document 02.06).</w:t>
      </w:r>
    </w:p>
    <w:p>
      <w:r>
        <w:rPr>
          <w:b w:val="0"/>
          <w:i w:val="0"/>
        </w:rPr>
        <w:t>The purpose of this Plan is to protect continuity of Essential Services over the Network, to safeguard the Tribal Assets and the Federal Interest, and to provide an orderly framework for cure, temporary Tribal step-in, and, if necessary, transition to a successor operator — while protecting RIVR Tech’s ownership of the RIVR Tech Existing Network and its IRU and lender-protection rights.</w:t>
      </w:r>
    </w:p>
    <w:p>
      <w:pPr>
        <w:ind w:left="504"/>
      </w:pPr>
      <w:r>
        <w:rPr>
          <w:b/>
          <w:color w:val="7F007F"/>
        </w:rPr>
        <w:t xml:space="preserve">[GRANT COMPLIANCE REVIEW REQUIRED]  </w:t>
      </w:r>
      <w:r>
        <w:rPr>
          <w:i/>
          <w:color w:val="595959"/>
        </w:rPr>
        <w:t>A step-in or successor-operator transition must preserve the Federal Interest in the Tribal Assets and comply with 2 CFR 200.311 (Real property — use, encumbrance, and disposition), 2 CFR 200.313 (Equipment — use, management, and disposition), and 2 CFR 200.315 (Intangible property). Lumbee Act of 1956, Pub. L. 84-570, 70 Stat. 254 (federal-recognition status affecting TBCP eligibility) bears on the Tribe’s eligibility to hold the Award; confirm before execution.</w:t>
      </w:r>
    </w:p>
    <w:p>
      <w:pPr>
        <w:ind w:left="504"/>
      </w:pPr>
      <w:r>
        <w:rPr>
          <w:b/>
          <w:color w:val="0000C0"/>
        </w:rPr>
        <w:t xml:space="preserve">[ATTORNEY REVIEW REQUIRED]  </w:t>
      </w:r>
      <w:r>
        <w:rPr>
          <w:i/>
          <w:color w:val="595959"/>
        </w:rPr>
        <w:t>Step-in, assignment, lender-protection, sovereign-immunity, and governing-law mechanics must be reviewed by counsel for the Tribe and by finance/lender counsel before execution.</w:t>
      </w:r>
    </w:p>
    <w:p>
      <w:pPr>
        <w:pStyle w:val="Heading1"/>
        <w:spacing w:before="240" w:after="120"/>
      </w:pPr>
      <w:r>
        <w:rPr>
          <w:rFonts w:ascii="Calibri" w:hAnsi="Calibri"/>
          <w:b/>
          <w:color w:val="1F3864"/>
          <w:sz w:val="26"/>
        </w:rPr>
        <w:t>ARTICLE 1.  PURPOSE, SCOPE AND DEFINITIONS</w:t>
      </w:r>
    </w:p>
    <w:p>
      <w:pPr>
        <w:pStyle w:val="Heading2"/>
        <w:spacing w:before="160" w:after="60"/>
      </w:pPr>
      <w:r>
        <w:rPr>
          <w:rFonts w:ascii="Calibri" w:hAnsi="Calibri"/>
          <w:b/>
          <w:color w:val="000000"/>
          <w:sz w:val="22"/>
        </w:rPr>
        <w:t>1.1  Consistency with Master Agreement and O&amp;M/SLA</w:t>
      </w:r>
    </w:p>
    <w:p>
      <w:r>
        <w:rPr>
          <w:b w:val="0"/>
          <w:i w:val="0"/>
        </w:rPr>
        <w:t>The default, notice, cure, and step-in mechanics in this Plan are the same as those in the Master Agreement (Section 02.01) and the O&amp;M/SLA (Section 02.03): a 30-day notice-and-cure period for monetary defaults (30 days) and a 60-day cure period for non-monetary defaults, with an additional sixty (60) days if the breach is not reasonably curable within the initial period and the defaulting Party is diligently pursuing cure. Emergency step-in is immediate, upon notice, where continuity of Essential Services, public safety, or compliance with the Award is imminently threatened.</w:t>
      </w:r>
    </w:p>
    <w:p>
      <w:pPr>
        <w:pStyle w:val="Heading2"/>
        <w:spacing w:before="160" w:after="60"/>
      </w:pPr>
      <w:r>
        <w:rPr>
          <w:rFonts w:ascii="Calibri" w:hAnsi="Calibri"/>
          <w:b/>
          <w:color w:val="000000"/>
          <w:sz w:val="22"/>
        </w:rPr>
        <w:t>1.2  Definitions</w:t>
      </w:r>
    </w:p>
    <w:p>
      <w:r>
        <w:rPr>
          <w:b w:val="0"/>
          <w:i w:val="0"/>
        </w:rPr>
        <w:t>Capitalized terms not defined here have the meanings given in the Master Agreement. In addition:</w:t>
      </w:r>
    </w:p>
    <w:p>
      <w:pPr>
        <w:ind w:left="504"/>
      </w:pPr>
      <w:r>
        <w:rPr>
          <w:b/>
        </w:rPr>
        <w:t xml:space="preserve">(Essential Services)  </w:t>
      </w:r>
      <w:r>
        <w:rPr>
          <w:b w:val="0"/>
          <w:i w:val="0"/>
        </w:rPr>
        <w:t>“Essential Services” means broadband, voice, and any public-safety or institutional connectivity provided over the Network whose interruption would materially harm subscribers, public safety, or the Award.</w:t>
      </w:r>
    </w:p>
    <w:p>
      <w:pPr>
        <w:ind w:left="504"/>
      </w:pPr>
      <w:r>
        <w:rPr>
          <w:b/>
        </w:rPr>
        <w:t xml:space="preserve">(Step-In)  </w:t>
      </w:r>
      <w:r>
        <w:rPr>
          <w:b w:val="0"/>
          <w:i w:val="0"/>
        </w:rPr>
        <w:t>“Step-In” means the temporary assumption by the Tribe or its designee of operational control of the Tribal Assets (and only the rights necessary for continuity) as provided in Articles 5–7.</w:t>
      </w:r>
    </w:p>
    <w:p>
      <w:pPr>
        <w:ind w:left="504"/>
      </w:pPr>
      <w:r>
        <w:rPr>
          <w:b/>
        </w:rPr>
        <w:t xml:space="preserve">(Successor Operator)  </w:t>
      </w:r>
      <w:r>
        <w:rPr>
          <w:b w:val="0"/>
          <w:i w:val="0"/>
        </w:rPr>
        <w:t>“Successor Operator” means a qualified operator (which may be the Tribe, a Tribal entity, or a third party) that assumes operation of the Tribal Assets following transition.</w:t>
      </w:r>
    </w:p>
    <w:p>
      <w:pPr>
        <w:ind w:left="504"/>
      </w:pPr>
      <w:r>
        <w:rPr>
          <w:b/>
        </w:rPr>
        <w:t xml:space="preserve">(Transition-Assistance Period)  </w:t>
      </w:r>
      <w:r>
        <w:rPr>
          <w:b w:val="0"/>
          <w:i w:val="0"/>
        </w:rPr>
        <w:t>“Transition-Assistance Period” means the period, initially 12 months and extendable under Section 15.2, during which RIVR Tech supports transition.</w:t>
      </w:r>
    </w:p>
    <w:p>
      <w:pPr>
        <w:ind w:left="504"/>
      </w:pPr>
      <w:r>
        <w:rPr>
          <w:b/>
        </w:rPr>
        <w:t xml:space="preserve">(Leasehold/IRU Interest)  </w:t>
      </w:r>
      <w:r>
        <w:rPr>
          <w:b w:val="0"/>
          <w:i w:val="0"/>
        </w:rPr>
        <w:t>“Leasehold/IRU Interest” means RIVR Tech’s IRU and related rights in capacity or fiber, protected under Article 17.</w:t>
      </w:r>
    </w:p>
    <w:p>
      <w:pPr>
        <w:ind w:left="504"/>
      </w:pPr>
      <w:r>
        <w:rPr>
          <w:b/>
        </w:rPr>
        <w:t xml:space="preserve">(Lender)  </w:t>
      </w:r>
      <w:r>
        <w:rPr>
          <w:b w:val="0"/>
          <w:i w:val="0"/>
        </w:rPr>
        <w:t>“Lender” means a bona fide third-party financing source holding a security interest in RIVR Tech’s assets or IRU interest, entitled to the protections in Section 17.4.</w:t>
      </w:r>
    </w:p>
    <w:p>
      <w:pPr>
        <w:pStyle w:val="Heading1"/>
        <w:spacing w:before="240" w:after="120"/>
      </w:pPr>
      <w:r>
        <w:rPr>
          <w:rFonts w:ascii="Calibri" w:hAnsi="Calibri"/>
          <w:b/>
          <w:color w:val="1F3864"/>
          <w:sz w:val="26"/>
        </w:rPr>
        <w:t>ARTICLE 2.  TRIGGERING EVENTS</w:t>
      </w:r>
    </w:p>
    <w:p>
      <w:r>
        <w:rPr>
          <w:b w:val="0"/>
          <w:i w:val="0"/>
        </w:rPr>
        <w:t>Each of the following is a “Triggering Event” that may give rise to cure, Step-In, or transition rights as provided in this Plan:</w:t>
      </w:r>
    </w:p>
    <w:p>
      <w:pPr>
        <w:ind w:left="504"/>
      </w:pPr>
      <w:r>
        <w:rPr>
          <w:b/>
        </w:rPr>
        <w:t xml:space="preserve">(a)  </w:t>
      </w:r>
      <w:r>
        <w:rPr>
          <w:b w:val="0"/>
          <w:i w:val="0"/>
        </w:rPr>
        <w:t>Uncured Default. A default by RIVR Tech under the Master Agreement or O&amp;M/SLA that remains uncured after the applicable notice-and-cure period in Article 4.</w:t>
      </w:r>
    </w:p>
    <w:p>
      <w:pPr>
        <w:ind w:left="504"/>
      </w:pPr>
      <w:r>
        <w:rPr>
          <w:b/>
        </w:rPr>
        <w:t xml:space="preserve">(b)  </w:t>
      </w:r>
      <w:r>
        <w:rPr>
          <w:b w:val="0"/>
          <w:i w:val="0"/>
        </w:rPr>
        <w:t xml:space="preserve">Insolvency. RIVR Tech’s insolvency, general assignment for the benefit of creditors, or the filing of a bankruptcy or receivership proceeding that is not dismissed within </w:t>
      </w:r>
      <w:r>
        <w:rPr>
          <w:b w:val="0"/>
          <w:i w:val="0"/>
          <w:color w:val="804000"/>
          <w:highlight w:val="yellow"/>
        </w:rPr>
        <w:t>[■ e.g., 60]</w:t>
      </w:r>
      <w:r>
        <w:rPr>
          <w:b w:val="0"/>
          <w:i w:val="0"/>
        </w:rPr>
        <w:t xml:space="preserve"> days, subject to applicable bankruptcy law.</w:t>
      </w:r>
    </w:p>
    <w:p>
      <w:pPr>
        <w:ind w:left="504"/>
      </w:pPr>
      <w:r>
        <w:rPr>
          <w:b/>
        </w:rPr>
        <w:t xml:space="preserve">(c)  </w:t>
      </w:r>
      <w:r>
        <w:rPr>
          <w:b w:val="0"/>
          <w:i w:val="0"/>
        </w:rPr>
        <w:t>Abandonment. RIVR Tech’s abandonment of, or sustained failure to operate, the Tribal Assets or Essential Services.</w:t>
      </w:r>
    </w:p>
    <w:p>
      <w:pPr>
        <w:ind w:left="504"/>
      </w:pPr>
      <w:r>
        <w:rPr>
          <w:b/>
        </w:rPr>
        <w:t xml:space="preserve">(d)  </w:t>
      </w:r>
      <w:r>
        <w:rPr>
          <w:b w:val="0"/>
          <w:i w:val="0"/>
        </w:rPr>
        <w:t>Loss of Authorizations. Loss, suspension, or non-renewal of a license, franchise, ETC designation, pole-attachment right, spectrum, or other authorization materially necessary to operate the Network.</w:t>
      </w:r>
    </w:p>
    <w:p>
      <w:pPr>
        <w:ind w:left="504"/>
      </w:pPr>
      <w:r>
        <w:rPr>
          <w:b/>
        </w:rPr>
        <w:t xml:space="preserve">(e)  </w:t>
      </w:r>
      <w:r>
        <w:rPr>
          <w:b w:val="0"/>
          <w:i w:val="0"/>
        </w:rPr>
        <w:t>Chronic SLA Failure. Chronic or repeated failure to meet the material service levels in the O&amp;M/SLA (Document 02.03) at the thresholds defined there (e.g., repeated missed availability or restoration targets).</w:t>
      </w:r>
    </w:p>
    <w:p>
      <w:pPr>
        <w:ind w:left="504"/>
      </w:pPr>
      <w:r>
        <w:rPr>
          <w:b/>
        </w:rPr>
        <w:t xml:space="preserve">(f)  </w:t>
      </w:r>
      <w:r>
        <w:rPr>
          <w:b w:val="0"/>
          <w:i w:val="0"/>
        </w:rPr>
        <w:t>Grant-Compliance Failure. A failure to comply with the Award or applicable federal requirements that threatens the Award, the Federal Interest, or the Tribe’s standing as recipient, including a matter requiring disclosure under 2 CFR 200.113 (Mandatory disclosures).</w:t>
      </w:r>
    </w:p>
    <w:p>
      <w:pPr>
        <w:ind w:left="504"/>
      </w:pPr>
      <w:r>
        <w:rPr>
          <w:b/>
        </w:rPr>
        <w:t xml:space="preserve">(g)  </w:t>
      </w:r>
      <w:r>
        <w:rPr>
          <w:b w:val="0"/>
          <w:i w:val="0"/>
        </w:rPr>
        <w:t>Change in Control without Consent. A change in control of RIVR Tech, or an assignment or encumbrance of its rights, without any consent required by the Master Agreement or the Award.</w:t>
      </w:r>
    </w:p>
    <w:p>
      <w:pPr>
        <w:ind w:left="504"/>
      </w:pPr>
      <w:r>
        <w:rPr>
          <w:b/>
        </w:rPr>
        <w:t xml:space="preserve">(h)  </w:t>
      </w:r>
      <w:r>
        <w:rPr>
          <w:b w:val="0"/>
          <w:i w:val="0"/>
        </w:rPr>
        <w:t>Covered-Equipment / Security Failure. Use of prohibited Covered Equipment (2 CFR 200.216 (Prohibition on certain telecommunications and video surveillance — §889 covered equipment)) or a material security failure under Document 02.06 that imminently threatens Customer Data or continuity.</w:t>
      </w:r>
    </w:p>
    <w:p>
      <w:pPr>
        <w:pStyle w:val="Heading1"/>
        <w:spacing w:before="240" w:after="120"/>
      </w:pPr>
      <w:r>
        <w:rPr>
          <w:rFonts w:ascii="Calibri" w:hAnsi="Calibri"/>
          <w:b/>
          <w:color w:val="1F3864"/>
          <w:sz w:val="26"/>
        </w:rPr>
        <w:t>ARTICLE 3.  NOTICE</w:t>
      </w:r>
    </w:p>
    <w:p>
      <w:pPr>
        <w:pStyle w:val="Heading2"/>
        <w:spacing w:before="160" w:after="60"/>
      </w:pPr>
      <w:r>
        <w:rPr>
          <w:rFonts w:ascii="Calibri" w:hAnsi="Calibri"/>
          <w:b/>
          <w:color w:val="000000"/>
          <w:sz w:val="22"/>
        </w:rPr>
        <w:t>3.1  Notice of Triggering Event</w:t>
      </w:r>
    </w:p>
    <w:p>
      <w:r>
        <w:rPr>
          <w:b w:val="0"/>
          <w:i w:val="0"/>
        </w:rPr>
        <w:t>On the occurrence of a Triggering Event, the Tribe shall give RIVR Tech written notice describing the event, the asserted basis, and (where a cure is available) the cure required, except that no prior notice is required to exercise Emergency Step-In under Article 5 where the conditions in Section 5.1 are met.</w:t>
      </w:r>
    </w:p>
    <w:p>
      <w:pPr>
        <w:pStyle w:val="Heading2"/>
        <w:spacing w:before="160" w:after="60"/>
      </w:pPr>
      <w:r>
        <w:rPr>
          <w:rFonts w:ascii="Calibri" w:hAnsi="Calibri"/>
          <w:b/>
          <w:color w:val="000000"/>
          <w:sz w:val="22"/>
        </w:rPr>
        <w:t>3.2  Notice to Lenders and NTIA</w:t>
      </w:r>
    </w:p>
    <w:p>
      <w:r>
        <w:rPr>
          <w:b w:val="0"/>
          <w:i w:val="0"/>
        </w:rPr>
        <w:t>Where required, the Tribe shall also provide notice to a Lender entitled to notice under Section 17.4 and shall coordinate with NTIA to the extent the Award requires notice of events affecting the Federal Interest.</w:t>
      </w:r>
    </w:p>
    <w:p>
      <w:pPr>
        <w:pStyle w:val="Heading1"/>
        <w:spacing w:before="240" w:after="120"/>
      </w:pPr>
      <w:r>
        <w:rPr>
          <w:rFonts w:ascii="Calibri" w:hAnsi="Calibri"/>
          <w:b/>
          <w:color w:val="1F3864"/>
          <w:sz w:val="26"/>
        </w:rPr>
        <w:t>ARTICLE 4.  CURE PERIODS</w:t>
      </w:r>
    </w:p>
    <w:p>
      <w:pPr>
        <w:pStyle w:val="Heading2"/>
        <w:spacing w:before="160" w:after="60"/>
      </w:pPr>
      <w:r>
        <w:rPr>
          <w:rFonts w:ascii="Calibri" w:hAnsi="Calibri"/>
          <w:b/>
          <w:color w:val="000000"/>
          <w:sz w:val="22"/>
        </w:rPr>
        <w:t>4.1  Monetary Default</w:t>
      </w:r>
    </w:p>
    <w:p>
      <w:r>
        <w:rPr>
          <w:b w:val="0"/>
          <w:i w:val="0"/>
        </w:rPr>
        <w:t>RIVR Tech shall have 30 days after written notice to cure a monetary default.</w:t>
      </w:r>
    </w:p>
    <w:p>
      <w:pPr>
        <w:pStyle w:val="Heading2"/>
        <w:spacing w:before="160" w:after="60"/>
      </w:pPr>
      <w:r>
        <w:rPr>
          <w:rFonts w:ascii="Calibri" w:hAnsi="Calibri"/>
          <w:b/>
          <w:color w:val="000000"/>
          <w:sz w:val="22"/>
        </w:rPr>
        <w:t>4.2  Non-Monetary Default</w:t>
      </w:r>
    </w:p>
    <w:p>
      <w:r>
        <w:rPr>
          <w:b w:val="0"/>
          <w:i w:val="0"/>
        </w:rPr>
        <w:t>RIVR Tech shall have 60 days after written notice to cure a non-monetary default, with an additional sixty (60) days if the breach is not reasonably curable within the initial period and the defaulting Party is diligently pursuing cure.</w:t>
      </w:r>
    </w:p>
    <w:p>
      <w:pPr>
        <w:pStyle w:val="Heading2"/>
        <w:spacing w:before="160" w:after="60"/>
      </w:pPr>
      <w:r>
        <w:rPr>
          <w:rFonts w:ascii="Calibri" w:hAnsi="Calibri"/>
          <w:b/>
          <w:color w:val="000000"/>
          <w:sz w:val="22"/>
        </w:rPr>
        <w:t>4.3  No Cure for Certain Events</w:t>
      </w:r>
    </w:p>
    <w:p>
      <w:r>
        <w:rPr>
          <w:b w:val="0"/>
          <w:i w:val="0"/>
        </w:rPr>
        <w:t>Emergency conditions under Article 5, and Triggering Events that are by nature not curable (e.g., certain losses of authorization), may permit Step-In or transition without a cure period, subject to applicable law and the protections of Articles 17–18.</w:t>
      </w:r>
    </w:p>
    <w:p>
      <w:pPr>
        <w:pStyle w:val="Heading2"/>
        <w:spacing w:before="160" w:after="60"/>
      </w:pPr>
      <w:r>
        <w:rPr>
          <w:rFonts w:ascii="Calibri" w:hAnsi="Calibri"/>
          <w:b/>
          <w:color w:val="000000"/>
          <w:sz w:val="22"/>
        </w:rPr>
        <w:t>4.4  Effect of Cure</w:t>
      </w:r>
    </w:p>
    <w:p>
      <w:r>
        <w:rPr>
          <w:b w:val="0"/>
          <w:i w:val="0"/>
        </w:rPr>
        <w:t>A timely and complete cure reinstates the status quo and terminates the related Step-In or transition rights arising from that Triggering Event, without prejudice to rights arising from subsequent events.</w:t>
      </w:r>
    </w:p>
    <w:p>
      <w:pPr>
        <w:pStyle w:val="Heading1"/>
        <w:spacing w:before="240" w:after="120"/>
      </w:pPr>
      <w:r>
        <w:rPr>
          <w:rFonts w:ascii="Calibri" w:hAnsi="Calibri"/>
          <w:b/>
          <w:color w:val="1F3864"/>
          <w:sz w:val="26"/>
        </w:rPr>
        <w:t>ARTICLE 5.  EMERGENCY TRIBAL STEP-IN</w:t>
      </w:r>
    </w:p>
    <w:p>
      <w:pPr>
        <w:pStyle w:val="Heading2"/>
        <w:spacing w:before="160" w:after="60"/>
      </w:pPr>
      <w:r>
        <w:rPr>
          <w:rFonts w:ascii="Calibri" w:hAnsi="Calibri"/>
          <w:b/>
          <w:color w:val="000000"/>
          <w:sz w:val="22"/>
        </w:rPr>
        <w:t>5.1  Right of Emergency Step-In</w:t>
      </w:r>
    </w:p>
    <w:p>
      <w:r>
        <w:rPr>
          <w:b w:val="0"/>
          <w:i w:val="0"/>
        </w:rPr>
        <w:t>The Tribe (or its designee) may exercise Emergency Step-In immediate, upon notice, where continuity of Essential Services, public safety, or compliance with the Award is imminently threatened. Emergency Step-In may be exercised without a prior cure period but with notice given as promptly as practicable, including contemporaneous or after-the-fact notice where advance notice is not feasible.</w:t>
      </w:r>
    </w:p>
    <w:p>
      <w:pPr>
        <w:pStyle w:val="Heading2"/>
        <w:spacing w:before="160" w:after="60"/>
      </w:pPr>
      <w:r>
        <w:rPr>
          <w:rFonts w:ascii="Calibri" w:hAnsi="Calibri"/>
          <w:b/>
          <w:color w:val="000000"/>
          <w:sz w:val="22"/>
        </w:rPr>
        <w:t>5.2  Scope Limited to Tribal Assets</w:t>
      </w:r>
    </w:p>
    <w:p>
      <w:r>
        <w:rPr>
          <w:b w:val="0"/>
          <w:i w:val="0"/>
        </w:rPr>
        <w:t>Emergency Step-In extends only to operational control of the Tribal Assets and to the rights (including access, credentials, and vendor cooperation) reasonably necessary to maintain Essential Services. It does not transfer ownership of any asset and does not extend to the RIVR Tech Existing Network except for the non-exclusive interconnection and transport rights necessary for continuity under Section 6.3.</w:t>
      </w:r>
    </w:p>
    <w:p>
      <w:pPr>
        <w:pStyle w:val="Heading2"/>
        <w:spacing w:before="160" w:after="60"/>
      </w:pPr>
      <w:r>
        <w:rPr>
          <w:rFonts w:ascii="Calibri" w:hAnsi="Calibri"/>
          <w:b/>
          <w:color w:val="000000"/>
          <w:sz w:val="22"/>
        </w:rPr>
        <w:t>5.3  Duration and Wind-Down</w:t>
      </w:r>
    </w:p>
    <w:p>
      <w:r>
        <w:rPr>
          <w:b w:val="0"/>
          <w:i w:val="0"/>
        </w:rPr>
        <w:t>Emergency Step-In continues only so long as the emergency conditions persist. On resolution, control returns to RIVR Tech unless a Triggering Event otherwise supports continued Step-In or transition.</w:t>
      </w:r>
    </w:p>
    <w:p>
      <w:pPr>
        <w:ind w:left="504"/>
      </w:pPr>
      <w:r>
        <w:rPr>
          <w:b/>
          <w:color w:val="0000C0"/>
        </w:rPr>
        <w:t xml:space="preserve">[ATTORNEY REVIEW REQUIRED]  </w:t>
      </w:r>
      <w:r>
        <w:rPr>
          <w:i/>
          <w:color w:val="595959"/>
        </w:rPr>
        <w:t>Emergency step-in without cure must be reconciled with lender rights, bankruptcy automatic-stay considerations, and any Award requirements. Confirm scope and notice mechanics with counsel.</w:t>
      </w:r>
    </w:p>
    <w:p>
      <w:pPr>
        <w:pStyle w:val="Heading1"/>
        <w:spacing w:before="240" w:after="120"/>
      </w:pPr>
      <w:r>
        <w:rPr>
          <w:rFonts w:ascii="Calibri" w:hAnsi="Calibri"/>
          <w:b/>
          <w:color w:val="1F3864"/>
          <w:sz w:val="26"/>
        </w:rPr>
        <w:t>ARTICLE 6.  TEMPORARY OPERATION DURING STEP-IN</w:t>
      </w:r>
    </w:p>
    <w:p>
      <w:pPr>
        <w:pStyle w:val="Heading2"/>
        <w:spacing w:before="160" w:after="60"/>
      </w:pPr>
      <w:r>
        <w:rPr>
          <w:rFonts w:ascii="Calibri" w:hAnsi="Calibri"/>
          <w:b/>
          <w:color w:val="000000"/>
          <w:sz w:val="22"/>
        </w:rPr>
        <w:t>6.1  Operation by the Tribe or Designee</w:t>
      </w:r>
    </w:p>
    <w:p>
      <w:r>
        <w:rPr>
          <w:b w:val="0"/>
          <w:i w:val="0"/>
        </w:rPr>
        <w:t>During a Step-In, the Tribe or its designated operator may operate, maintain, and manage the Tribal Assets and provide Essential Services, using the access, records, credentials, and cooperation provided under Articles 7–14.</w:t>
      </w:r>
    </w:p>
    <w:p>
      <w:pPr>
        <w:pStyle w:val="Heading2"/>
        <w:spacing w:before="160" w:after="60"/>
      </w:pPr>
      <w:r>
        <w:rPr>
          <w:rFonts w:ascii="Calibri" w:hAnsi="Calibri"/>
          <w:b/>
          <w:color w:val="000000"/>
          <w:sz w:val="22"/>
        </w:rPr>
        <w:t>6.2  Protection of RIVR Tech Existing Network</w:t>
      </w:r>
    </w:p>
    <w:p>
      <w:r>
        <w:rPr>
          <w:b w:val="0"/>
          <w:i w:val="0"/>
        </w:rPr>
        <w:t>The Step-In is limited to the Tribal Assets. The Tribe shall not assume ownership or control of the RIVR Tech Existing Network (RIVR Tech’s proprietary middle-mile/backbone and core), and shall protect RIVR Tech’s confidential and proprietary systems, except to the limited extent of Section 6.3.</w:t>
      </w:r>
    </w:p>
    <w:p>
      <w:pPr>
        <w:pStyle w:val="Heading2"/>
        <w:spacing w:before="160" w:after="60"/>
      </w:pPr>
      <w:r>
        <w:rPr>
          <w:rFonts w:ascii="Calibri" w:hAnsi="Calibri"/>
          <w:b/>
          <w:color w:val="000000"/>
          <w:sz w:val="22"/>
        </w:rPr>
        <w:t>6.3  Continuity Interconnection</w:t>
      </w:r>
    </w:p>
    <w:p>
      <w:r>
        <w:rPr>
          <w:b w:val="0"/>
          <w:i w:val="0"/>
        </w:rPr>
        <w:t>To the extent Essential Services depend on transport across the RIVR Tech Existing Network, RIVR Tech shall continue to provide, and the Tribe or its designee may use, non-exclusive interconnection and transport on the terms then in effect (or on cost-based terms under Section 16 if none apply) solely for continuity during Step-In. This does not grant any ownership or long-term right in the RIVR Tech Existing Network.</w:t>
      </w:r>
    </w:p>
    <w:p>
      <w:pPr>
        <w:ind w:left="504"/>
      </w:pPr>
      <w:r>
        <w:rPr>
          <w:b/>
          <w:color w:val="C00000"/>
        </w:rPr>
        <w:t xml:space="preserve">[BUSINESS DECISION REQUIRED]  </w:t>
      </w:r>
      <w:r>
        <w:rPr>
          <w:i/>
          <w:color w:val="595959"/>
        </w:rPr>
        <w:t>Confirm the commercial terms and duration of continuity interconnection across the RIVR Tech Existing Network during Step-In (e.g., existing wholesale rate vs. cost-based transition rate): [■ interconnection terms during step-in].</w:t>
      </w:r>
    </w:p>
    <w:p>
      <w:pPr>
        <w:pStyle w:val="Heading1"/>
        <w:spacing w:before="240" w:after="120"/>
      </w:pPr>
      <w:r>
        <w:rPr>
          <w:rFonts w:ascii="Calibri" w:hAnsi="Calibri"/>
          <w:b/>
          <w:color w:val="1F3864"/>
          <w:sz w:val="26"/>
        </w:rPr>
        <w:t>ARTICLE 7.  ACCESS TO SYSTEMS AND CREDENTIALS</w:t>
      </w:r>
    </w:p>
    <w:p>
      <w:pPr>
        <w:pStyle w:val="Heading2"/>
        <w:spacing w:before="160" w:after="60"/>
      </w:pPr>
      <w:r>
        <w:rPr>
          <w:rFonts w:ascii="Calibri" w:hAnsi="Calibri"/>
          <w:b/>
          <w:color w:val="000000"/>
          <w:sz w:val="22"/>
        </w:rPr>
        <w:t>7.1  Access</w:t>
      </w:r>
    </w:p>
    <w:p>
      <w:r>
        <w:rPr>
          <w:b w:val="0"/>
          <w:i w:val="0"/>
        </w:rPr>
        <w:t>On Step-In or transition, RIVR Tech shall provide the Tribe or Successor Operator prompt access to the operational, monitoring, provisioning, and support systems necessary to operate the Tribal Assets, and to the physical sites, subject to safety and security controls.</w:t>
      </w:r>
    </w:p>
    <w:p>
      <w:pPr>
        <w:pStyle w:val="Heading2"/>
        <w:spacing w:before="160" w:after="60"/>
      </w:pPr>
      <w:r>
        <w:rPr>
          <w:rFonts w:ascii="Calibri" w:hAnsi="Calibri"/>
          <w:b/>
          <w:color w:val="000000"/>
          <w:sz w:val="22"/>
        </w:rPr>
        <w:t>7.2  Network Credentials</w:t>
      </w:r>
    </w:p>
    <w:p>
      <w:r>
        <w:rPr>
          <w:b w:val="0"/>
          <w:i w:val="0"/>
        </w:rPr>
        <w:t>RIVR Tech shall deliver or reset, as appropriate, network credentials, administrative accounts, certificates, and keys necessary to operate the Tribal Assets, and shall support secure re-keying so continuity is preserved while protecting the RIVR Tech Existing Network.</w:t>
      </w:r>
    </w:p>
    <w:p>
      <w:pPr>
        <w:pStyle w:val="Heading2"/>
        <w:spacing w:before="160" w:after="60"/>
      </w:pPr>
      <w:r>
        <w:rPr>
          <w:rFonts w:ascii="Calibri" w:hAnsi="Calibri"/>
          <w:b/>
          <w:color w:val="000000"/>
          <w:sz w:val="22"/>
        </w:rPr>
        <w:t>7.3  Security During Access</w:t>
      </w:r>
    </w:p>
    <w:p>
      <w:r>
        <w:rPr>
          <w:b w:val="0"/>
          <w:i w:val="0"/>
        </w:rPr>
        <w:t>Access and credential transfer shall follow the security and access-control requirements of Document 02.06, including least privilege, logging, and prompt revocation of superseded credentials.</w:t>
      </w:r>
    </w:p>
    <w:p>
      <w:pPr>
        <w:pStyle w:val="Heading1"/>
        <w:spacing w:before="240" w:after="120"/>
      </w:pPr>
      <w:r>
        <w:rPr>
          <w:rFonts w:ascii="Calibri" w:hAnsi="Calibri"/>
          <w:b/>
          <w:color w:val="1F3864"/>
          <w:sz w:val="26"/>
        </w:rPr>
        <w:t>ARTICLE 8.  CUSTOMER CONTINUITY</w:t>
      </w:r>
    </w:p>
    <w:p>
      <w:pPr>
        <w:pStyle w:val="Heading2"/>
        <w:spacing w:before="160" w:after="60"/>
      </w:pPr>
      <w:r>
        <w:rPr>
          <w:rFonts w:ascii="Calibri" w:hAnsi="Calibri"/>
          <w:b/>
          <w:color w:val="000000"/>
          <w:sz w:val="22"/>
        </w:rPr>
        <w:t>8.1  Uninterrupted Service</w:t>
      </w:r>
    </w:p>
    <w:p>
      <w:r>
        <w:rPr>
          <w:b w:val="0"/>
          <w:i w:val="0"/>
        </w:rPr>
        <w:t>The Parties shall cooperate to keep Essential Services uninterrupted during Step-In and transition, including maintaining billing, support, and provisioning for subscribers in the Service Territory.</w:t>
      </w:r>
    </w:p>
    <w:p>
      <w:pPr>
        <w:pStyle w:val="Heading2"/>
        <w:spacing w:before="160" w:after="60"/>
      </w:pPr>
      <w:r>
        <w:rPr>
          <w:rFonts w:ascii="Calibri" w:hAnsi="Calibri"/>
          <w:b/>
          <w:color w:val="000000"/>
          <w:sz w:val="22"/>
        </w:rPr>
        <w:t>8.2  Subscriber Communications</w:t>
      </w:r>
    </w:p>
    <w:p>
      <w:r>
        <w:rPr>
          <w:b w:val="0"/>
          <w:i w:val="0"/>
        </w:rPr>
        <w:t>Subscriber communications about a transition shall be coordinated with the Tribe and shall comply with the CPNI carrier-change rules and the privacy obligations of Document 02.06.</w:t>
      </w:r>
    </w:p>
    <w:p>
      <w:pPr>
        <w:pStyle w:val="Heading1"/>
        <w:spacing w:before="240" w:after="120"/>
      </w:pPr>
      <w:r>
        <w:rPr>
          <w:rFonts w:ascii="Calibri" w:hAnsi="Calibri"/>
          <w:b/>
          <w:color w:val="1F3864"/>
          <w:sz w:val="26"/>
        </w:rPr>
        <w:t>ARTICLE 9.  TRANSFER OF RECORDS</w:t>
      </w:r>
    </w:p>
    <w:p>
      <w:pPr>
        <w:pStyle w:val="Heading2"/>
        <w:spacing w:before="160" w:after="60"/>
      </w:pPr>
      <w:r>
        <w:rPr>
          <w:rFonts w:ascii="Calibri" w:hAnsi="Calibri"/>
          <w:b/>
          <w:color w:val="000000"/>
          <w:sz w:val="22"/>
        </w:rPr>
        <w:t>9.1  Operational and Grant Records</w:t>
      </w:r>
    </w:p>
    <w:p>
      <w:r>
        <w:rPr>
          <w:b w:val="0"/>
          <w:i w:val="0"/>
        </w:rPr>
        <w:t>RIVR Tech shall transfer to the Tribe or Successor Operator copies of the records necessary to operate the Tribal Assets and to substantiate the Award, retaining copies only as permitted, consistent with 2 CFR 200.334–200.337 (Record retention and access; three-year retention).</w:t>
      </w:r>
    </w:p>
    <w:p>
      <w:pPr>
        <w:pStyle w:val="Heading2"/>
        <w:spacing w:before="160" w:after="60"/>
      </w:pPr>
      <w:r>
        <w:rPr>
          <w:rFonts w:ascii="Calibri" w:hAnsi="Calibri"/>
          <w:b/>
          <w:color w:val="000000"/>
          <w:sz w:val="22"/>
        </w:rPr>
        <w:t>9.2  As-Builts and Documentation</w:t>
      </w:r>
    </w:p>
    <w:p>
      <w:r>
        <w:rPr>
          <w:b w:val="0"/>
          <w:i w:val="0"/>
        </w:rPr>
        <w:t>Transferred records shall include as-built drawings, fiber records, GIS data, splice and OTDR records, equipment inventories, configurations, warranties, permits, and maintenance histories, in usable formats.</w:t>
      </w:r>
    </w:p>
    <w:p>
      <w:pPr>
        <w:pStyle w:val="Heading2"/>
        <w:spacing w:before="160" w:after="60"/>
      </w:pPr>
      <w:r>
        <w:rPr>
          <w:rFonts w:ascii="Calibri" w:hAnsi="Calibri"/>
          <w:b/>
          <w:color w:val="000000"/>
          <w:sz w:val="22"/>
        </w:rPr>
        <w:t>9.3  Customer Data</w:t>
      </w:r>
    </w:p>
    <w:p>
      <w:r>
        <w:rPr>
          <w:b w:val="0"/>
          <w:i w:val="0"/>
        </w:rPr>
        <w:t>Customer Data shall be transferred in portable form and handled under Articles 17–18 of Document 02.06 (return, destruction, and portability).</w:t>
      </w:r>
    </w:p>
    <w:p>
      <w:pPr>
        <w:pStyle w:val="Heading1"/>
        <w:spacing w:before="240" w:after="120"/>
      </w:pPr>
      <w:r>
        <w:rPr>
          <w:rFonts w:ascii="Calibri" w:hAnsi="Calibri"/>
          <w:b/>
          <w:color w:val="1F3864"/>
          <w:sz w:val="26"/>
        </w:rPr>
        <w:t>ARTICLE 10.  TRANSFER OF TELEPHONE NUMBERS AND SERVICE ACCOUNTS</w:t>
      </w:r>
    </w:p>
    <w:p>
      <w:pPr>
        <w:pStyle w:val="Heading2"/>
        <w:spacing w:before="160" w:after="60"/>
      </w:pPr>
      <w:r>
        <w:rPr>
          <w:rFonts w:ascii="Calibri" w:hAnsi="Calibri"/>
          <w:b/>
          <w:color w:val="000000"/>
          <w:sz w:val="22"/>
        </w:rPr>
        <w:t>10.1  Local Number Portability</w:t>
      </w:r>
    </w:p>
    <w:p>
      <w:r>
        <w:rPr>
          <w:b w:val="0"/>
          <w:i w:val="0"/>
        </w:rPr>
        <w:t>RIVR Tech shall cooperate to port subscriber telephone numbers to the Tribe or Successor Operator (or its underlying carrier) consistent with FCC local-number-portability (LNP) rules, and shall not block or delay ports.</w:t>
      </w:r>
    </w:p>
    <w:p>
      <w:pPr>
        <w:pStyle w:val="Heading2"/>
        <w:spacing w:before="160" w:after="60"/>
      </w:pPr>
      <w:r>
        <w:rPr>
          <w:rFonts w:ascii="Calibri" w:hAnsi="Calibri"/>
          <w:b/>
          <w:color w:val="000000"/>
          <w:sz w:val="22"/>
        </w:rPr>
        <w:t>10.2  Service Accounts</w:t>
      </w:r>
    </w:p>
    <w:p>
      <w:r>
        <w:rPr>
          <w:b w:val="0"/>
          <w:i w:val="0"/>
        </w:rPr>
        <w:t>RIVR Tech shall transfer or assist in re-establishing subscriber service accounts, including account identifiers, service configurations, and provisioning data necessary for continuity.</w:t>
      </w:r>
    </w:p>
    <w:p>
      <w:pPr>
        <w:pStyle w:val="Heading1"/>
        <w:spacing w:before="240" w:after="120"/>
      </w:pPr>
      <w:r>
        <w:rPr>
          <w:rFonts w:ascii="Calibri" w:hAnsi="Calibri"/>
          <w:b/>
          <w:color w:val="1F3864"/>
          <w:sz w:val="26"/>
        </w:rPr>
        <w:t>ARTICLE 11.  VENDOR CONTRACTS</w:t>
      </w:r>
    </w:p>
    <w:p>
      <w:pPr>
        <w:pStyle w:val="Heading2"/>
        <w:spacing w:before="160" w:after="60"/>
      </w:pPr>
      <w:r>
        <w:rPr>
          <w:rFonts w:ascii="Calibri" w:hAnsi="Calibri"/>
          <w:b/>
          <w:color w:val="000000"/>
          <w:sz w:val="22"/>
        </w:rPr>
        <w:t>11.1  Assignment / Step-In</w:t>
      </w:r>
    </w:p>
    <w:p>
      <w:r>
        <w:rPr>
          <w:b w:val="0"/>
          <w:i w:val="0"/>
        </w:rPr>
        <w:t>To the extent assignable, RIVR Tech shall, at the Tribe’s election, assign to the Tribe or Successor Operator, or permit step-in to, third-party vendor and maintenance contracts that are dedicated to or materially necessary for operating the Tribal Assets.</w:t>
      </w:r>
    </w:p>
    <w:p>
      <w:pPr>
        <w:pStyle w:val="Heading2"/>
        <w:spacing w:before="160" w:after="60"/>
      </w:pPr>
      <w:r>
        <w:rPr>
          <w:rFonts w:ascii="Calibri" w:hAnsi="Calibri"/>
          <w:b/>
          <w:color w:val="000000"/>
          <w:sz w:val="22"/>
        </w:rPr>
        <w:t>11.2  Consent and Shared Contracts</w:t>
      </w:r>
    </w:p>
    <w:p>
      <w:r>
        <w:rPr>
          <w:b w:val="0"/>
          <w:i w:val="0"/>
        </w:rPr>
        <w:t>For contracts requiring vendor consent or that are shared with the RIVR Tech Existing Network, RIVR Tech shall use commercially reasonable efforts to obtain consent or to arrange substitute arrangements for the Tribal Assets portion, without impairing RIVR Tech’s own operations.</w:t>
      </w:r>
    </w:p>
    <w:p>
      <w:pPr>
        <w:ind w:left="504"/>
      </w:pPr>
      <w:r>
        <w:rPr>
          <w:b/>
          <w:color w:val="C00000"/>
        </w:rPr>
        <w:t xml:space="preserve">[BUSINESS DECISION REQUIRED]  </w:t>
      </w:r>
      <w:r>
        <w:rPr>
          <w:i/>
          <w:color w:val="595959"/>
        </w:rPr>
        <w:t>Identify which vendor and maintenance contracts are dedicated vs. shared, and the assignment/step-in mechanics for each: [■ vendor-contract assignment schedule].</w:t>
      </w:r>
    </w:p>
    <w:p>
      <w:pPr>
        <w:pStyle w:val="Heading1"/>
        <w:spacing w:before="240" w:after="120"/>
      </w:pPr>
      <w:r>
        <w:rPr>
          <w:rFonts w:ascii="Calibri" w:hAnsi="Calibri"/>
          <w:b/>
          <w:color w:val="1F3864"/>
          <w:sz w:val="26"/>
        </w:rPr>
        <w:t>ARTICLE 12.  SOFTWARE LICENSES AND ESCROW</w:t>
      </w:r>
    </w:p>
    <w:p>
      <w:pPr>
        <w:pStyle w:val="Heading2"/>
        <w:spacing w:before="160" w:after="60"/>
      </w:pPr>
      <w:r>
        <w:rPr>
          <w:rFonts w:ascii="Calibri" w:hAnsi="Calibri"/>
          <w:b/>
          <w:color w:val="000000"/>
          <w:sz w:val="22"/>
        </w:rPr>
        <w:t>12.1  Assignability</w:t>
      </w:r>
    </w:p>
    <w:p>
      <w:r>
        <w:rPr>
          <w:b w:val="0"/>
          <w:i w:val="0"/>
        </w:rPr>
        <w:t>RIVR Tech shall identify software and firmware licenses necessary to operate the Tribal Assets and, to the extent permitted, assign or sublicense them to the Tribe or Successor Operator, or facilitate replacement licenses.</w:t>
      </w:r>
    </w:p>
    <w:p>
      <w:pPr>
        <w:pStyle w:val="Heading2"/>
        <w:spacing w:before="160" w:after="60"/>
      </w:pPr>
      <w:r>
        <w:rPr>
          <w:rFonts w:ascii="Calibri" w:hAnsi="Calibri"/>
          <w:b/>
          <w:color w:val="000000"/>
          <w:sz w:val="22"/>
        </w:rPr>
        <w:t>12.2  Source-Code / Configuration Escrow</w:t>
      </w:r>
    </w:p>
    <w:p>
      <w:r>
        <w:rPr>
          <w:b w:val="0"/>
          <w:i w:val="0"/>
        </w:rPr>
        <w:t xml:space="preserve">For custom or operations-critical software owned or controlled by RIVR Tech, the Parties shall consider a source-code and/or configuration escrow with release conditions tied to the Triggering Events, so continuity is preserved. </w:t>
      </w:r>
      <w:r>
        <w:rPr>
          <w:b w:val="0"/>
          <w:i w:val="0"/>
          <w:color w:val="804000"/>
          <w:highlight w:val="yellow"/>
        </w:rPr>
        <w:t>[■ confirm escrow scope, agent, and release conditions]</w:t>
      </w:r>
      <w:r>
        <w:rPr>
          <w:b w:val="0"/>
          <w:i w:val="0"/>
        </w:rPr>
        <w:t>.</w:t>
      </w:r>
    </w:p>
    <w:p>
      <w:pPr>
        <w:pStyle w:val="Heading1"/>
        <w:spacing w:before="240" w:after="120"/>
      </w:pPr>
      <w:r>
        <w:rPr>
          <w:rFonts w:ascii="Calibri" w:hAnsi="Calibri"/>
          <w:b/>
          <w:color w:val="1F3864"/>
          <w:sz w:val="26"/>
        </w:rPr>
        <w:t>ARTICLE 13.  INVENTORY, SPARE MATERIALS AND TRAINING</w:t>
      </w:r>
    </w:p>
    <w:p>
      <w:pPr>
        <w:pStyle w:val="Heading2"/>
        <w:spacing w:before="160" w:after="60"/>
      </w:pPr>
      <w:r>
        <w:rPr>
          <w:rFonts w:ascii="Calibri" w:hAnsi="Calibri"/>
          <w:b/>
          <w:color w:val="000000"/>
          <w:sz w:val="22"/>
        </w:rPr>
        <w:t>13.1  Inventory and Spares</w:t>
      </w:r>
    </w:p>
    <w:p>
      <w:r>
        <w:rPr>
          <w:b w:val="0"/>
          <w:i w:val="0"/>
        </w:rPr>
        <w:t xml:space="preserve">RIVR Tech shall maintain and, on transition, transfer to the Tribe or Successor Operator the spare materials, tools, and consumables reasonably necessary to maintain the Tribal Assets, at </w:t>
      </w:r>
      <w:r>
        <w:rPr>
          <w:b w:val="0"/>
          <w:i w:val="0"/>
          <w:color w:val="804000"/>
          <w:highlight w:val="yellow"/>
        </w:rPr>
        <w:t>[■ valuation basis, e.g., cost / book value]</w:t>
      </w:r>
      <w:r>
        <w:rPr>
          <w:b w:val="0"/>
          <w:i w:val="0"/>
        </w:rPr>
        <w:t>.</w:t>
      </w:r>
    </w:p>
    <w:p>
      <w:pPr>
        <w:pStyle w:val="Heading2"/>
        <w:spacing w:before="160" w:after="60"/>
      </w:pPr>
      <w:r>
        <w:rPr>
          <w:rFonts w:ascii="Calibri" w:hAnsi="Calibri"/>
          <w:b/>
          <w:color w:val="000000"/>
          <w:sz w:val="22"/>
        </w:rPr>
        <w:t>13.2  Training and Knowledge Transfer</w:t>
      </w:r>
    </w:p>
    <w:p>
      <w:r>
        <w:rPr>
          <w:b w:val="0"/>
          <w:i w:val="0"/>
        </w:rPr>
        <w:t>RIVR Tech shall provide reasonable training and knowledge transfer to the personnel of the Tribe or Successor Operator on the operation and maintenance of the Tribal Assets during the Transition-Assistance Period.</w:t>
      </w:r>
    </w:p>
    <w:p>
      <w:pPr>
        <w:pStyle w:val="Heading1"/>
        <w:spacing w:before="240" w:after="120"/>
      </w:pPr>
      <w:r>
        <w:rPr>
          <w:rFonts w:ascii="Calibri" w:hAnsi="Calibri"/>
          <w:b/>
          <w:color w:val="1F3864"/>
          <w:sz w:val="26"/>
        </w:rPr>
        <w:t>ARTICLE 14.  SUCCESSOR-OPERATOR COOPERATION</w:t>
      </w:r>
    </w:p>
    <w:p>
      <w:pPr>
        <w:pStyle w:val="Heading2"/>
        <w:spacing w:before="160" w:after="60"/>
      </w:pPr>
      <w:r>
        <w:rPr>
          <w:rFonts w:ascii="Calibri" w:hAnsi="Calibri"/>
          <w:b/>
          <w:color w:val="000000"/>
          <w:sz w:val="22"/>
        </w:rPr>
        <w:t>14.1  Good-Faith Cooperation</w:t>
      </w:r>
    </w:p>
    <w:p>
      <w:r>
        <w:rPr>
          <w:b w:val="0"/>
          <w:i w:val="0"/>
        </w:rPr>
        <w:t>RIVR Tech shall cooperate in good faith with the Tribe and any Successor Operator to effect an orderly transition, including reasonable availability of knowledgeable personnel, responses to information requests, and joint transition planning.</w:t>
      </w:r>
    </w:p>
    <w:p>
      <w:pPr>
        <w:pStyle w:val="Heading2"/>
        <w:spacing w:before="160" w:after="60"/>
      </w:pPr>
      <w:r>
        <w:rPr>
          <w:rFonts w:ascii="Calibri" w:hAnsi="Calibri"/>
          <w:b/>
          <w:color w:val="000000"/>
          <w:sz w:val="22"/>
        </w:rPr>
        <w:t>14.2  Transition Manager</w:t>
      </w:r>
    </w:p>
    <w:p>
      <w:r>
        <w:rPr>
          <w:b w:val="0"/>
          <w:i w:val="0"/>
        </w:rPr>
        <w:t xml:space="preserve">Each Party shall designate a transition manager. </w:t>
      </w:r>
      <w:r>
        <w:rPr>
          <w:b w:val="0"/>
          <w:i w:val="0"/>
          <w:color w:val="804000"/>
          <w:highlight w:val="yellow"/>
        </w:rPr>
        <w:t>[■ name/role of each Party’s transition manager]</w:t>
      </w:r>
      <w:r>
        <w:rPr>
          <w:b w:val="0"/>
          <w:i w:val="0"/>
        </w:rPr>
        <w:t>.</w:t>
      </w:r>
    </w:p>
    <w:p>
      <w:pPr>
        <w:pStyle w:val="Heading1"/>
        <w:spacing w:before="240" w:after="120"/>
      </w:pPr>
      <w:r>
        <w:rPr>
          <w:rFonts w:ascii="Calibri" w:hAnsi="Calibri"/>
          <w:b/>
          <w:color w:val="1F3864"/>
          <w:sz w:val="26"/>
        </w:rPr>
        <w:t>ARTICLE 15.  TRANSITION-ASSISTANCE PERIOD</w:t>
      </w:r>
    </w:p>
    <w:p>
      <w:pPr>
        <w:pStyle w:val="Heading2"/>
        <w:spacing w:before="160" w:after="60"/>
      </w:pPr>
      <w:r>
        <w:rPr>
          <w:rFonts w:ascii="Calibri" w:hAnsi="Calibri"/>
          <w:b/>
          <w:color w:val="000000"/>
          <w:sz w:val="22"/>
        </w:rPr>
        <w:t>15.1  Duration</w:t>
      </w:r>
    </w:p>
    <w:p>
      <w:r>
        <w:rPr>
          <w:b w:val="0"/>
          <w:i w:val="0"/>
        </w:rPr>
        <w:t>The Transition-Assistance Period is 12 months from the commencement of transition, during which RIVR Tech provides the assistance described in this Plan.</w:t>
      </w:r>
    </w:p>
    <w:p>
      <w:pPr>
        <w:pStyle w:val="Heading2"/>
        <w:spacing w:before="160" w:after="60"/>
      </w:pPr>
      <w:r>
        <w:rPr>
          <w:rFonts w:ascii="Calibri" w:hAnsi="Calibri"/>
          <w:b/>
          <w:color w:val="000000"/>
          <w:sz w:val="22"/>
        </w:rPr>
        <w:t>15.2  Extension</w:t>
      </w:r>
    </w:p>
    <w:p>
      <w:r>
        <w:rPr>
          <w:b w:val="0"/>
          <w:i w:val="0"/>
        </w:rPr>
        <w:t xml:space="preserve">The Tribe may extend the Transition-Assistance Period for up to </w:t>
      </w:r>
      <w:r>
        <w:rPr>
          <w:b w:val="0"/>
          <w:i w:val="0"/>
          <w:color w:val="804000"/>
          <w:highlight w:val="yellow"/>
        </w:rPr>
        <w:t>[■ e.g., one or more additional 3-month periods]</w:t>
      </w:r>
      <w:r>
        <w:rPr>
          <w:b w:val="0"/>
          <w:i w:val="0"/>
        </w:rPr>
        <w:t xml:space="preserve"> on notice, where reasonably necessary to complete transition, subject to the transition pricing in Article 16.</w:t>
      </w:r>
    </w:p>
    <w:p>
      <w:pPr>
        <w:pStyle w:val="Heading2"/>
        <w:spacing w:before="160" w:after="60"/>
      </w:pPr>
      <w:r>
        <w:rPr>
          <w:rFonts w:ascii="Calibri" w:hAnsi="Calibri"/>
          <w:b/>
          <w:color w:val="000000"/>
          <w:sz w:val="22"/>
        </w:rPr>
        <w:t>15.3  Standard of Performance</w:t>
      </w:r>
    </w:p>
    <w:p>
      <w:r>
        <w:rPr>
          <w:b w:val="0"/>
          <w:i w:val="0"/>
        </w:rPr>
        <w:t>During the Transition-Assistance Period, RIVR Tech shall continue to meet the material service levels of the O&amp;M/SLA (Document 02.03) for the Tribal Assets unless and until operational responsibility has transferred.</w:t>
      </w:r>
    </w:p>
    <w:p>
      <w:pPr>
        <w:pStyle w:val="Heading1"/>
        <w:spacing w:before="240" w:after="120"/>
      </w:pPr>
      <w:r>
        <w:rPr>
          <w:rFonts w:ascii="Calibri" w:hAnsi="Calibri"/>
          <w:b/>
          <w:color w:val="1F3864"/>
          <w:sz w:val="26"/>
        </w:rPr>
        <w:t>ARTICLE 16.  TRANSITION PRICING</w:t>
      </w:r>
    </w:p>
    <w:p>
      <w:pPr>
        <w:pStyle w:val="Heading2"/>
        <w:spacing w:before="160" w:after="60"/>
      </w:pPr>
      <w:r>
        <w:rPr>
          <w:rFonts w:ascii="Calibri" w:hAnsi="Calibri"/>
          <w:b/>
          <w:color w:val="000000"/>
          <w:sz w:val="22"/>
        </w:rPr>
        <w:t>16.1  Cost-Based and Capped</w:t>
      </w:r>
    </w:p>
    <w:p>
      <w:r>
        <w:rPr>
          <w:b w:val="0"/>
          <w:i w:val="0"/>
        </w:rPr>
        <w:t xml:space="preserve">Transition-assistance services (including Step-In support, training, continuity interconnection, and knowledge transfer) shall be provided at cost-based pricing, capped so as not to exceed </w:t>
      </w:r>
      <w:r>
        <w:rPr>
          <w:b w:val="0"/>
          <w:i w:val="0"/>
          <w:color w:val="804000"/>
          <w:highlight w:val="yellow"/>
        </w:rPr>
        <w:t>[■ cap basis, e.g., fully-loaded cost plus a fixed percentage, not to exceed a stated ceiling]</w:t>
      </w:r>
      <w:r>
        <w:rPr>
          <w:b w:val="0"/>
          <w:i w:val="0"/>
        </w:rPr>
        <w:t>. Emergency Step-In support during a genuine emergency shall be provided without markup.</w:t>
      </w:r>
    </w:p>
    <w:p>
      <w:pPr>
        <w:pStyle w:val="Heading2"/>
        <w:spacing w:before="160" w:after="60"/>
      </w:pPr>
      <w:r>
        <w:rPr>
          <w:rFonts w:ascii="Calibri" w:hAnsi="Calibri"/>
          <w:b/>
          <w:color w:val="000000"/>
          <w:sz w:val="22"/>
        </w:rPr>
        <w:t>16.2  No Windfall; No Leverage</w:t>
      </w:r>
    </w:p>
    <w:p>
      <w:r>
        <w:rPr>
          <w:b w:val="0"/>
          <w:i w:val="0"/>
        </w:rPr>
        <w:t>Transition pricing shall not be used to impede transition or to extract value disproportionate to cost. Amounts owed are subject to the final reconciliation in Article 19.</w:t>
      </w:r>
    </w:p>
    <w:p>
      <w:pPr>
        <w:ind w:left="504"/>
      </w:pPr>
      <w:r>
        <w:rPr>
          <w:b/>
          <w:color w:val="C00000"/>
        </w:rPr>
        <w:t xml:space="preserve">[BUSINESS DECISION REQUIRED]  </w:t>
      </w:r>
      <w:r>
        <w:rPr>
          <w:i/>
          <w:color w:val="595959"/>
        </w:rPr>
        <w:t>Set the cost-based transition-pricing formula and cap: [■ transition-pricing formula, cap, and emergency carve-out].</w:t>
      </w:r>
    </w:p>
    <w:p>
      <w:pPr>
        <w:pStyle w:val="Heading1"/>
        <w:spacing w:before="240" w:after="120"/>
      </w:pPr>
      <w:r>
        <w:rPr>
          <w:rFonts w:ascii="Calibri" w:hAnsi="Calibri"/>
          <w:b/>
          <w:color w:val="1F3864"/>
          <w:sz w:val="26"/>
        </w:rPr>
        <w:t>ARTICLE 17.  PROTECTION OF RIVR TECH-OWNED INFRASTRUCTURE</w:t>
      </w:r>
    </w:p>
    <w:p>
      <w:pPr>
        <w:pStyle w:val="Heading2"/>
        <w:spacing w:before="160" w:after="60"/>
      </w:pPr>
      <w:r>
        <w:rPr>
          <w:rFonts w:ascii="Calibri" w:hAnsi="Calibri"/>
          <w:b/>
          <w:color w:val="000000"/>
          <w:sz w:val="22"/>
        </w:rPr>
        <w:t>17.1  Retained Ownership</w:t>
      </w:r>
    </w:p>
    <w:p>
      <w:r>
        <w:rPr>
          <w:b w:val="0"/>
          <w:i w:val="0"/>
        </w:rPr>
        <w:t>RIVR Tech retains ownership of the RIVR Tech Existing Network and all RIVR Tech Assets that are not Tribal Assets. Step-In and transition extend only to the Tribal Assets and the rights necessary for continuity, and do not transfer, encumber, or grant any long-term interest in the RIVR Tech Existing Network.</w:t>
      </w:r>
    </w:p>
    <w:p>
      <w:pPr>
        <w:pStyle w:val="Heading2"/>
        <w:spacing w:before="160" w:after="60"/>
      </w:pPr>
      <w:r>
        <w:rPr>
          <w:rFonts w:ascii="Calibri" w:hAnsi="Calibri"/>
          <w:b/>
          <w:color w:val="000000"/>
          <w:sz w:val="22"/>
        </w:rPr>
        <w:t>17.2  IRU Protection</w:t>
      </w:r>
    </w:p>
    <w:p>
      <w:r>
        <w:rPr>
          <w:b w:val="0"/>
          <w:i w:val="0"/>
        </w:rPr>
        <w:t>RIVR Tech’s IRU and related capacity rights (recommended term of thirty (30) years) survive Step-In and transition except to the extent terminated for uncured default under the Master Agreement, and RIVR Tech retains its own cure rights before any termination of the IRU.</w:t>
      </w:r>
    </w:p>
    <w:p>
      <w:pPr>
        <w:pStyle w:val="Heading2"/>
        <w:spacing w:before="160" w:after="60"/>
      </w:pPr>
      <w:r>
        <w:rPr>
          <w:rFonts w:ascii="Calibri" w:hAnsi="Calibri"/>
          <w:b/>
          <w:color w:val="000000"/>
          <w:sz w:val="22"/>
        </w:rPr>
        <w:t>17.3  RIVR Tech Cure Rights</w:t>
      </w:r>
    </w:p>
    <w:p>
      <w:r>
        <w:rPr>
          <w:b w:val="0"/>
          <w:i w:val="0"/>
        </w:rPr>
        <w:t>Nothing in this Plan deprives RIVR Tech of the notice-and-cure rights in Article 4. Termination of RIVR Tech’s core rights requires exhaustion of the applicable cure period, except in the emergency circumstances of Article 5 (which are temporary and continuity-limited).</w:t>
      </w:r>
    </w:p>
    <w:p>
      <w:pPr>
        <w:pStyle w:val="Heading2"/>
        <w:spacing w:before="160" w:after="60"/>
      </w:pPr>
      <w:r>
        <w:rPr>
          <w:rFonts w:ascii="Calibri" w:hAnsi="Calibri"/>
          <w:b/>
          <w:color w:val="000000"/>
          <w:sz w:val="22"/>
        </w:rPr>
        <w:t>17.4  Lender Protection</w:t>
      </w:r>
    </w:p>
    <w:p>
      <w:r>
        <w:rPr>
          <w:b w:val="0"/>
          <w:i w:val="0"/>
        </w:rPr>
        <w:t xml:space="preserve">A Lender shall be entitled to (a) notice of a Triggering Event and a reasonable opportunity to cure on RIVR Tech’s behalf; (b) the right to step into or assign RIVR Tech’s financed rights to a qualified transferee, subject to the Tribe’s reasonable consent and the Award; and (c) recognition of its security interest in RIVR Tech-owned assets — provided that no Lender right may encumber the Tribal Assets contrary to Article 18. </w:t>
      </w:r>
      <w:r>
        <w:rPr>
          <w:b w:val="0"/>
          <w:i w:val="0"/>
          <w:color w:val="804000"/>
          <w:highlight w:val="yellow"/>
        </w:rPr>
        <w:t>[■ confirm lender-protection / consent-to-assignment terms]</w:t>
      </w:r>
      <w:r>
        <w:rPr>
          <w:b w:val="0"/>
          <w:i w:val="0"/>
        </w:rPr>
        <w:t>.</w:t>
      </w:r>
    </w:p>
    <w:p>
      <w:pPr>
        <w:ind w:left="504"/>
      </w:pPr>
      <w:r>
        <w:rPr>
          <w:b/>
          <w:color w:val="0000C0"/>
        </w:rPr>
        <w:t xml:space="preserve">[ATTORNEY REVIEW REQUIRED]  </w:t>
      </w:r>
      <w:r>
        <w:rPr>
          <w:i/>
          <w:color w:val="595959"/>
        </w:rPr>
        <w:t>Lender-protection, IRU-survival, and cure-on-behalf provisions must be reconciled with the Award’s restrictions on the Tribal Assets and with any financing documents. Do not finalize without finance counsel.</w:t>
      </w:r>
    </w:p>
    <w:p>
      <w:pPr>
        <w:pStyle w:val="Heading1"/>
        <w:spacing w:before="240" w:after="120"/>
      </w:pPr>
      <w:r>
        <w:rPr>
          <w:rFonts w:ascii="Calibri" w:hAnsi="Calibri"/>
          <w:b/>
          <w:color w:val="1F3864"/>
          <w:sz w:val="26"/>
        </w:rPr>
        <w:t>ARTICLE 18.  PROTECTION OF TRIBAL ASSETS</w:t>
      </w:r>
    </w:p>
    <w:p>
      <w:pPr>
        <w:pStyle w:val="Heading2"/>
        <w:spacing w:before="160" w:after="60"/>
      </w:pPr>
      <w:r>
        <w:rPr>
          <w:rFonts w:ascii="Calibri" w:hAnsi="Calibri"/>
          <w:b/>
          <w:color w:val="000000"/>
          <w:sz w:val="22"/>
        </w:rPr>
        <w:t>18.1  Tribal Ownership Preserved</w:t>
      </w:r>
    </w:p>
    <w:p>
      <w:r>
        <w:rPr>
          <w:b w:val="0"/>
          <w:i w:val="0"/>
        </w:rPr>
        <w:t>The Tribal Assets are and remain the property of the Tribe. Neither Step-In, transition, nor any Lender or successor arrangement may transfer title to, or grant a security interest in, the Tribal Assets except as permitted by the Award and applicable federal law.</w:t>
      </w:r>
    </w:p>
    <w:p>
      <w:pPr>
        <w:pStyle w:val="Heading2"/>
        <w:spacing w:before="160" w:after="60"/>
      </w:pPr>
      <w:r>
        <w:rPr>
          <w:rFonts w:ascii="Calibri" w:hAnsi="Calibri"/>
          <w:b/>
          <w:color w:val="000000"/>
          <w:sz w:val="22"/>
        </w:rPr>
        <w:t>18.2  No Encumbrance Contrary to 2 CFR 200.311</w:t>
      </w:r>
    </w:p>
    <w:p>
      <w:r>
        <w:rPr>
          <w:b w:val="0"/>
          <w:i w:val="0"/>
        </w:rPr>
        <w:t>No Successor Operator, Lender, or other party may use, encumber, or dispose of the Tribal Assets contrary to 2 CFR 200.311 (Real property — use, encumbrance, and disposition) (and, for equipment and intangible property, 2 CFR 200.313 (Equipment — use, management, and disposition) and 2 CFR 200.315 (Intangible property)). Any disposition requires compliance with the Award’s disposition and Federal-Interest provisions.</w:t>
      </w:r>
    </w:p>
    <w:p>
      <w:pPr>
        <w:pStyle w:val="Heading2"/>
        <w:spacing w:before="160" w:after="60"/>
      </w:pPr>
      <w:r>
        <w:rPr>
          <w:rFonts w:ascii="Calibri" w:hAnsi="Calibri"/>
          <w:b/>
          <w:color w:val="000000"/>
          <w:sz w:val="22"/>
        </w:rPr>
        <w:t>18.3  Continuing Federal Interest</w:t>
      </w:r>
    </w:p>
    <w:p>
      <w:r>
        <w:rPr>
          <w:b w:val="0"/>
          <w:i w:val="0"/>
        </w:rPr>
        <w:t>The Federal Interest continues through Step-In and transition. The Parties shall take no action that would impair the Federal Interest or the Tribe’s ability to satisfy Award and closeout obligations (2 CFR 200.344 (Closeout) and 2 CFR 200.345 (Post-closeout adjustments and continuing responsibilities)).</w:t>
      </w:r>
    </w:p>
    <w:p>
      <w:pPr>
        <w:pStyle w:val="Heading1"/>
        <w:spacing w:before="240" w:after="120"/>
      </w:pPr>
      <w:r>
        <w:rPr>
          <w:rFonts w:ascii="Calibri" w:hAnsi="Calibri"/>
          <w:b/>
          <w:color w:val="1F3864"/>
          <w:sz w:val="26"/>
        </w:rPr>
        <w:t>ARTICLE 19.  FINAL RECONCILIATION</w:t>
      </w:r>
    </w:p>
    <w:p>
      <w:pPr>
        <w:pStyle w:val="Heading2"/>
        <w:spacing w:before="160" w:after="60"/>
      </w:pPr>
      <w:r>
        <w:rPr>
          <w:rFonts w:ascii="Calibri" w:hAnsi="Calibri"/>
          <w:b/>
          <w:color w:val="000000"/>
          <w:sz w:val="22"/>
        </w:rPr>
        <w:t>19.1  Financial True-Up</w:t>
      </w:r>
    </w:p>
    <w:p>
      <w:r>
        <w:rPr>
          <w:b w:val="0"/>
          <w:i w:val="0"/>
        </w:rPr>
        <w:t>On completion of transition, the Parties shall perform a financial true-up covering amounts owed for transition assistance (Article 16), any accrued but unpaid operating or revenue-share amounts under the Master Agreement, and any offsets or credits.</w:t>
      </w:r>
    </w:p>
    <w:p>
      <w:pPr>
        <w:pStyle w:val="Heading2"/>
        <w:spacing w:before="160" w:after="60"/>
      </w:pPr>
      <w:r>
        <w:rPr>
          <w:rFonts w:ascii="Calibri" w:hAnsi="Calibri"/>
          <w:b/>
          <w:color w:val="000000"/>
          <w:sz w:val="22"/>
        </w:rPr>
        <w:t>19.2  Deposits, Reserves and Escrows</w:t>
      </w:r>
    </w:p>
    <w:p>
      <w:r>
        <w:rPr>
          <w:b w:val="0"/>
          <w:i w:val="0"/>
        </w:rPr>
        <w:t>Any deposits, reserves, maintenance escrows, or holdbacks shall be reconciled and the balance returned to the entitled Party, net of documented obligations.</w:t>
      </w:r>
    </w:p>
    <w:p>
      <w:pPr>
        <w:pStyle w:val="Heading2"/>
        <w:spacing w:before="160" w:after="60"/>
      </w:pPr>
      <w:r>
        <w:rPr>
          <w:rFonts w:ascii="Calibri" w:hAnsi="Calibri"/>
          <w:b/>
          <w:color w:val="000000"/>
          <w:sz w:val="22"/>
        </w:rPr>
        <w:t>19.3  Program-Income Accounting</w:t>
      </w:r>
    </w:p>
    <w:p>
      <w:r>
        <w:rPr>
          <w:b w:val="0"/>
          <w:i w:val="0"/>
        </w:rPr>
        <w:t>The Parties shall account for Program Income through the transition date consistent with 2 CFR 200.307 (Program income), and shall document the treatment of any Program Income earned during Step-In or the Transition-Assistance Period.</w:t>
      </w:r>
    </w:p>
    <w:p>
      <w:pPr>
        <w:pStyle w:val="Heading2"/>
        <w:spacing w:before="160" w:after="60"/>
      </w:pPr>
      <w:r>
        <w:rPr>
          <w:rFonts w:ascii="Calibri" w:hAnsi="Calibri"/>
          <w:b/>
          <w:color w:val="000000"/>
          <w:sz w:val="22"/>
        </w:rPr>
        <w:t>19.4  Records and Closeout</w:t>
      </w:r>
    </w:p>
    <w:p>
      <w:r>
        <w:rPr>
          <w:b w:val="0"/>
          <w:i w:val="0"/>
        </w:rPr>
        <w:t>Final-reconciliation records shall be retained under 2 CFR 200.334–200.337 (Record retention and access; three-year retention) and shall support Award closeout and any post-closeout adjustments (2 CFR 200.344 (Closeout) and 2 CFR 200.345 (Post-closeout adjustments and continuing responsibilities)).</w:t>
      </w:r>
    </w:p>
    <w:p>
      <w:pPr>
        <w:ind w:left="504"/>
      </w:pPr>
      <w:r>
        <w:rPr>
          <w:b/>
          <w:color w:val="7F007F"/>
        </w:rPr>
        <w:t xml:space="preserve">[GRANT COMPLIANCE REVIEW REQUIRED]  </w:t>
      </w:r>
      <w:r>
        <w:rPr>
          <w:i/>
          <w:color w:val="595959"/>
        </w:rPr>
        <w:t>Program-income and disposition accounting on transition are grant-compliance sensitive. Confirm treatment with grant counsel / the Tribe’s finance team and, where required, NTIA.</w:t>
      </w:r>
    </w:p>
    <w:p>
      <w:pPr>
        <w:pStyle w:val="Heading1"/>
        <w:spacing w:before="240" w:after="120"/>
      </w:pPr>
      <w:r>
        <w:rPr>
          <w:rFonts w:ascii="Calibri" w:hAnsi="Calibri"/>
          <w:b/>
          <w:color w:val="1F3864"/>
          <w:sz w:val="26"/>
        </w:rPr>
        <w:t>ARTICLE 20.  STEP-IN TRIGGER → ACTION MATRIX</w:t>
      </w:r>
    </w:p>
    <w:p>
      <w:r>
        <w:rPr>
          <w:b w:val="0"/>
          <w:i/>
        </w:rPr>
        <w:t>The following matrix summarizes the relationship between Triggering Events and available actions. It is a summary only; the operative terms are in Articles 2–19.</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1F3864"/>
            <w:vAlign w:val="center"/>
          </w:tcPr>
          <w:p>
            <w:pPr>
              <w:jc w:val="center"/>
            </w:pPr>
            <w:r>
              <w:rPr>
                <w:b/>
                <w:color w:val="FFFFFF"/>
                <w:sz w:val="18"/>
              </w:rPr>
              <w:t>Triggering Event</w:t>
            </w:r>
          </w:p>
        </w:tc>
        <w:tc>
          <w:tcPr>
            <w:tcW w:type="dxa" w:w="2160"/>
            <w:shd w:val="clear" w:color="auto" w:fill="1F3864"/>
            <w:vAlign w:val="center"/>
          </w:tcPr>
          <w:p>
            <w:pPr>
              <w:jc w:val="center"/>
            </w:pPr>
            <w:r>
              <w:rPr>
                <w:b/>
                <w:color w:val="FFFFFF"/>
                <w:sz w:val="18"/>
              </w:rPr>
              <w:t>Cure Available?</w:t>
            </w:r>
          </w:p>
        </w:tc>
        <w:tc>
          <w:tcPr>
            <w:tcW w:type="dxa" w:w="3024"/>
            <w:shd w:val="clear" w:color="auto" w:fill="1F3864"/>
            <w:vAlign w:val="center"/>
          </w:tcPr>
          <w:p>
            <w:pPr>
              <w:jc w:val="center"/>
            </w:pPr>
            <w:r>
              <w:rPr>
                <w:b/>
                <w:color w:val="FFFFFF"/>
                <w:sz w:val="18"/>
              </w:rPr>
              <w:t>Primary Action</w:t>
            </w:r>
          </w:p>
        </w:tc>
        <w:tc>
          <w:tcPr>
            <w:tcW w:type="dxa" w:w="2880"/>
            <w:shd w:val="clear" w:color="auto" w:fill="1F3864"/>
            <w:vAlign w:val="center"/>
          </w:tcPr>
          <w:p>
            <w:pPr>
              <w:jc w:val="center"/>
            </w:pPr>
            <w:r>
              <w:rPr>
                <w:b/>
                <w:color w:val="FFFFFF"/>
                <w:sz w:val="18"/>
              </w:rPr>
              <w:t>Asset Scope / Safeguard</w:t>
            </w:r>
          </w:p>
        </w:tc>
      </w:tr>
      <w:tr>
        <w:tc>
          <w:tcPr>
            <w:tcW w:type="dxa" w:w="2736"/>
            <w:vAlign w:val="center"/>
          </w:tcPr>
          <w:p>
            <w:r>
              <w:rPr>
                <w:b w:val="0"/>
                <w:i w:val="0"/>
                <w:sz w:val="18"/>
              </w:rPr>
              <w:t>Uncured monetary default</w:t>
            </w:r>
          </w:p>
        </w:tc>
        <w:tc>
          <w:tcPr>
            <w:tcW w:type="dxa" w:w="2160"/>
            <w:vAlign w:val="center"/>
          </w:tcPr>
          <w:p>
            <w:pPr>
              <w:jc w:val="center"/>
            </w:pPr>
            <w:r>
              <w:rPr>
                <w:b w:val="0"/>
                <w:i w:val="0"/>
                <w:sz w:val="18"/>
              </w:rPr>
              <w:t>Yes — 30 days</w:t>
            </w:r>
          </w:p>
        </w:tc>
        <w:tc>
          <w:tcPr>
            <w:tcW w:type="dxa" w:w="3024"/>
            <w:vAlign w:val="center"/>
          </w:tcPr>
          <w:p>
            <w:r>
              <w:rPr>
                <w:b w:val="0"/>
                <w:i w:val="0"/>
                <w:sz w:val="18"/>
              </w:rPr>
              <w:t>Suspension of payments; potential transition</w:t>
            </w:r>
          </w:p>
        </w:tc>
        <w:tc>
          <w:tcPr>
            <w:tcW w:type="dxa" w:w="2880"/>
            <w:vAlign w:val="center"/>
          </w:tcPr>
          <w:p>
            <w:r>
              <w:rPr>
                <w:b w:val="0"/>
                <w:i w:val="0"/>
                <w:sz w:val="18"/>
              </w:rPr>
              <w:t>Tribal Assets; RIVR IRU cure rights (17.3)</w:t>
            </w:r>
          </w:p>
        </w:tc>
      </w:tr>
      <w:tr>
        <w:tc>
          <w:tcPr>
            <w:tcW w:type="dxa" w:w="2736"/>
            <w:shd w:val="clear" w:color="auto" w:fill="F2F2F2"/>
            <w:vAlign w:val="center"/>
          </w:tcPr>
          <w:p>
            <w:r>
              <w:rPr>
                <w:b w:val="0"/>
                <w:i w:val="0"/>
                <w:sz w:val="18"/>
              </w:rPr>
              <w:t>Uncured non-monetary default</w:t>
            </w:r>
          </w:p>
        </w:tc>
        <w:tc>
          <w:tcPr>
            <w:tcW w:type="dxa" w:w="2160"/>
            <w:shd w:val="clear" w:color="auto" w:fill="F2F2F2"/>
            <w:vAlign w:val="center"/>
          </w:tcPr>
          <w:p>
            <w:pPr>
              <w:jc w:val="center"/>
            </w:pPr>
            <w:r>
              <w:rPr>
                <w:b w:val="0"/>
                <w:i w:val="0"/>
                <w:sz w:val="18"/>
              </w:rPr>
              <w:t>Yes — 60 days (+ ext.)</w:t>
            </w:r>
          </w:p>
        </w:tc>
        <w:tc>
          <w:tcPr>
            <w:tcW w:type="dxa" w:w="3024"/>
            <w:shd w:val="clear" w:color="auto" w:fill="F2F2F2"/>
            <w:vAlign w:val="center"/>
          </w:tcPr>
          <w:p>
            <w:r>
              <w:rPr>
                <w:b w:val="0"/>
                <w:i w:val="0"/>
                <w:sz w:val="18"/>
              </w:rPr>
              <w:t>Step-In or transition after cure lapses</w:t>
            </w:r>
          </w:p>
        </w:tc>
        <w:tc>
          <w:tcPr>
            <w:tcW w:type="dxa" w:w="2880"/>
            <w:shd w:val="clear" w:color="auto" w:fill="F2F2F2"/>
            <w:vAlign w:val="center"/>
          </w:tcPr>
          <w:p>
            <w:r>
              <w:rPr>
                <w:b w:val="0"/>
                <w:i w:val="0"/>
                <w:sz w:val="18"/>
              </w:rPr>
              <w:t>Tribal Assets only; Existing Network protected (6.2)</w:t>
            </w:r>
          </w:p>
        </w:tc>
      </w:tr>
      <w:tr>
        <w:tc>
          <w:tcPr>
            <w:tcW w:type="dxa" w:w="2736"/>
            <w:vAlign w:val="center"/>
          </w:tcPr>
          <w:p>
            <w:r>
              <w:rPr>
                <w:b w:val="0"/>
                <w:i w:val="0"/>
                <w:sz w:val="18"/>
              </w:rPr>
              <w:t>Insolvency / bankruptcy</w:t>
            </w:r>
          </w:p>
        </w:tc>
        <w:tc>
          <w:tcPr>
            <w:tcW w:type="dxa" w:w="2160"/>
            <w:vAlign w:val="center"/>
          </w:tcPr>
          <w:p>
            <w:pPr>
              <w:jc w:val="center"/>
            </w:pPr>
            <w:r>
              <w:rPr>
                <w:b w:val="0"/>
                <w:i w:val="0"/>
                <w:sz w:val="18"/>
              </w:rPr>
              <w:t>Limited (per law)</w:t>
            </w:r>
          </w:p>
        </w:tc>
        <w:tc>
          <w:tcPr>
            <w:tcW w:type="dxa" w:w="3024"/>
            <w:vAlign w:val="center"/>
          </w:tcPr>
          <w:p>
            <w:r>
              <w:rPr>
                <w:b w:val="0"/>
                <w:i w:val="0"/>
                <w:sz w:val="18"/>
              </w:rPr>
              <w:t>Step-In to preserve continuity; assess assumption</w:t>
            </w:r>
          </w:p>
        </w:tc>
        <w:tc>
          <w:tcPr>
            <w:tcW w:type="dxa" w:w="2880"/>
            <w:vAlign w:val="center"/>
          </w:tcPr>
          <w:p>
            <w:r>
              <w:rPr>
                <w:b w:val="0"/>
                <w:i w:val="0"/>
                <w:sz w:val="18"/>
              </w:rPr>
              <w:t>Subject to automatic stay; lender notice (17.4)</w:t>
            </w:r>
          </w:p>
        </w:tc>
      </w:tr>
      <w:tr>
        <w:tc>
          <w:tcPr>
            <w:tcW w:type="dxa" w:w="2736"/>
            <w:shd w:val="clear" w:color="auto" w:fill="F2F2F2"/>
            <w:vAlign w:val="center"/>
          </w:tcPr>
          <w:p>
            <w:r>
              <w:rPr>
                <w:b w:val="0"/>
                <w:i w:val="0"/>
                <w:sz w:val="18"/>
              </w:rPr>
              <w:t>Abandonment</w:t>
            </w:r>
          </w:p>
        </w:tc>
        <w:tc>
          <w:tcPr>
            <w:tcW w:type="dxa" w:w="2160"/>
            <w:shd w:val="clear" w:color="auto" w:fill="F2F2F2"/>
            <w:vAlign w:val="center"/>
          </w:tcPr>
          <w:p>
            <w:pPr>
              <w:jc w:val="center"/>
            </w:pPr>
            <w:r>
              <w:rPr>
                <w:b w:val="0"/>
                <w:i w:val="0"/>
                <w:sz w:val="18"/>
              </w:rPr>
              <w:t>Case-by-case</w:t>
            </w:r>
          </w:p>
        </w:tc>
        <w:tc>
          <w:tcPr>
            <w:tcW w:type="dxa" w:w="3024"/>
            <w:shd w:val="clear" w:color="auto" w:fill="F2F2F2"/>
            <w:vAlign w:val="center"/>
          </w:tcPr>
          <w:p>
            <w:r>
              <w:rPr>
                <w:b w:val="0"/>
                <w:i w:val="0"/>
                <w:sz w:val="18"/>
              </w:rPr>
              <w:t>Emergency Step-In (Art. 5)</w:t>
            </w:r>
          </w:p>
        </w:tc>
        <w:tc>
          <w:tcPr>
            <w:tcW w:type="dxa" w:w="2880"/>
            <w:shd w:val="clear" w:color="auto" w:fill="F2F2F2"/>
            <w:vAlign w:val="center"/>
          </w:tcPr>
          <w:p>
            <w:r>
              <w:rPr>
                <w:b w:val="0"/>
                <w:i w:val="0"/>
                <w:sz w:val="18"/>
              </w:rPr>
              <w:t>Continuity interconnection (6.3)</w:t>
            </w:r>
          </w:p>
        </w:tc>
      </w:tr>
      <w:tr>
        <w:tc>
          <w:tcPr>
            <w:tcW w:type="dxa" w:w="2736"/>
            <w:vAlign w:val="center"/>
          </w:tcPr>
          <w:p>
            <w:r>
              <w:rPr>
                <w:b w:val="0"/>
                <w:i w:val="0"/>
                <w:sz w:val="18"/>
              </w:rPr>
              <w:t>Loss of authorizations</w:t>
            </w:r>
          </w:p>
        </w:tc>
        <w:tc>
          <w:tcPr>
            <w:tcW w:type="dxa" w:w="2160"/>
            <w:vAlign w:val="center"/>
          </w:tcPr>
          <w:p>
            <w:pPr>
              <w:jc w:val="center"/>
            </w:pPr>
            <w:r>
              <w:rPr>
                <w:b w:val="0"/>
                <w:i w:val="0"/>
                <w:sz w:val="18"/>
              </w:rPr>
              <w:t>Often no</w:t>
            </w:r>
          </w:p>
        </w:tc>
        <w:tc>
          <w:tcPr>
            <w:tcW w:type="dxa" w:w="3024"/>
            <w:vAlign w:val="center"/>
          </w:tcPr>
          <w:p>
            <w:r>
              <w:rPr>
                <w:b w:val="0"/>
                <w:i w:val="0"/>
                <w:sz w:val="18"/>
              </w:rPr>
              <w:t>Step-In / expedited transition</w:t>
            </w:r>
          </w:p>
        </w:tc>
        <w:tc>
          <w:tcPr>
            <w:tcW w:type="dxa" w:w="2880"/>
            <w:vAlign w:val="center"/>
          </w:tcPr>
          <w:p>
            <w:r>
              <w:rPr>
                <w:b w:val="0"/>
                <w:i w:val="0"/>
                <w:sz w:val="18"/>
              </w:rPr>
              <w:t>Preserve Federal Interest (18.3)</w:t>
            </w:r>
          </w:p>
        </w:tc>
      </w:tr>
      <w:tr>
        <w:tc>
          <w:tcPr>
            <w:tcW w:type="dxa" w:w="2736"/>
            <w:shd w:val="clear" w:color="auto" w:fill="F2F2F2"/>
            <w:vAlign w:val="center"/>
          </w:tcPr>
          <w:p>
            <w:r>
              <w:rPr>
                <w:b w:val="0"/>
                <w:i w:val="0"/>
                <w:sz w:val="18"/>
              </w:rPr>
              <w:t>Chronic SLA failure</w:t>
            </w:r>
          </w:p>
        </w:tc>
        <w:tc>
          <w:tcPr>
            <w:tcW w:type="dxa" w:w="2160"/>
            <w:shd w:val="clear" w:color="auto" w:fill="F2F2F2"/>
            <w:vAlign w:val="center"/>
          </w:tcPr>
          <w:p>
            <w:pPr>
              <w:jc w:val="center"/>
            </w:pPr>
            <w:r>
              <w:rPr>
                <w:b w:val="0"/>
                <w:i w:val="0"/>
                <w:sz w:val="18"/>
              </w:rPr>
              <w:t>Yes — 60 days</w:t>
            </w:r>
          </w:p>
        </w:tc>
        <w:tc>
          <w:tcPr>
            <w:tcW w:type="dxa" w:w="3024"/>
            <w:shd w:val="clear" w:color="auto" w:fill="F2F2F2"/>
            <w:vAlign w:val="center"/>
          </w:tcPr>
          <w:p>
            <w:r>
              <w:rPr>
                <w:b w:val="0"/>
                <w:i w:val="0"/>
                <w:sz w:val="18"/>
              </w:rPr>
              <w:t>Cure plan; transition if chronic</w:t>
            </w:r>
          </w:p>
        </w:tc>
        <w:tc>
          <w:tcPr>
            <w:tcW w:type="dxa" w:w="2880"/>
            <w:shd w:val="clear" w:color="auto" w:fill="F2F2F2"/>
            <w:vAlign w:val="center"/>
          </w:tcPr>
          <w:p>
            <w:r>
              <w:rPr>
                <w:b w:val="0"/>
                <w:i w:val="0"/>
                <w:sz w:val="18"/>
              </w:rPr>
              <w:t>Per O&amp;M/SLA 02.03 thresholds</w:t>
            </w:r>
          </w:p>
        </w:tc>
      </w:tr>
      <w:tr>
        <w:tc>
          <w:tcPr>
            <w:tcW w:type="dxa" w:w="2736"/>
            <w:vAlign w:val="center"/>
          </w:tcPr>
          <w:p>
            <w:r>
              <w:rPr>
                <w:b w:val="0"/>
                <w:i w:val="0"/>
                <w:sz w:val="18"/>
              </w:rPr>
              <w:t>Grant-compliance failure</w:t>
            </w:r>
          </w:p>
        </w:tc>
        <w:tc>
          <w:tcPr>
            <w:tcW w:type="dxa" w:w="2160"/>
            <w:vAlign w:val="center"/>
          </w:tcPr>
          <w:p>
            <w:pPr>
              <w:jc w:val="center"/>
            </w:pPr>
            <w:r>
              <w:rPr>
                <w:b w:val="0"/>
                <w:i w:val="0"/>
                <w:sz w:val="18"/>
              </w:rPr>
              <w:t>If curable</w:t>
            </w:r>
          </w:p>
        </w:tc>
        <w:tc>
          <w:tcPr>
            <w:tcW w:type="dxa" w:w="3024"/>
            <w:vAlign w:val="center"/>
          </w:tcPr>
          <w:p>
            <w:r>
              <w:rPr>
                <w:b w:val="0"/>
                <w:i w:val="0"/>
                <w:sz w:val="18"/>
              </w:rPr>
              <w:t>Immediate coordination; Step-In if Award threatened</w:t>
            </w:r>
          </w:p>
        </w:tc>
        <w:tc>
          <w:tcPr>
            <w:tcW w:type="dxa" w:w="2880"/>
            <w:vAlign w:val="center"/>
          </w:tcPr>
          <w:p>
            <w:r>
              <w:rPr>
                <w:b w:val="0"/>
                <w:i w:val="0"/>
                <w:sz w:val="18"/>
              </w:rPr>
              <w:t>200.113 disclosure; NTIA notice (3.2)</w:t>
            </w:r>
          </w:p>
        </w:tc>
      </w:tr>
      <w:tr>
        <w:tc>
          <w:tcPr>
            <w:tcW w:type="dxa" w:w="2736"/>
            <w:shd w:val="clear" w:color="auto" w:fill="F2F2F2"/>
            <w:vAlign w:val="center"/>
          </w:tcPr>
          <w:p>
            <w:r>
              <w:rPr>
                <w:b w:val="0"/>
                <w:i w:val="0"/>
                <w:sz w:val="18"/>
              </w:rPr>
              <w:t>Change in control w/o consent</w:t>
            </w:r>
          </w:p>
        </w:tc>
        <w:tc>
          <w:tcPr>
            <w:tcW w:type="dxa" w:w="2160"/>
            <w:shd w:val="clear" w:color="auto" w:fill="F2F2F2"/>
            <w:vAlign w:val="center"/>
          </w:tcPr>
          <w:p>
            <w:pPr>
              <w:jc w:val="center"/>
            </w:pPr>
            <w:r>
              <w:rPr>
                <w:b w:val="0"/>
                <w:i w:val="0"/>
                <w:sz w:val="18"/>
              </w:rPr>
              <w:t>Cure = unwind/obtain consent</w:t>
            </w:r>
          </w:p>
        </w:tc>
        <w:tc>
          <w:tcPr>
            <w:tcW w:type="dxa" w:w="3024"/>
            <w:shd w:val="clear" w:color="auto" w:fill="F2F2F2"/>
            <w:vAlign w:val="center"/>
          </w:tcPr>
          <w:p>
            <w:r>
              <w:rPr>
                <w:b w:val="0"/>
                <w:i w:val="0"/>
                <w:sz w:val="18"/>
              </w:rPr>
              <w:t>Consent or transition</w:t>
            </w:r>
          </w:p>
        </w:tc>
        <w:tc>
          <w:tcPr>
            <w:tcW w:type="dxa" w:w="2880"/>
            <w:shd w:val="clear" w:color="auto" w:fill="F2F2F2"/>
            <w:vAlign w:val="center"/>
          </w:tcPr>
          <w:p>
            <w:r>
              <w:rPr>
                <w:b w:val="0"/>
                <w:i w:val="0"/>
                <w:sz w:val="18"/>
              </w:rPr>
              <w:t>No encumbrance of Tribal Assets (18.2)</w:t>
            </w:r>
          </w:p>
        </w:tc>
      </w:tr>
      <w:tr>
        <w:tc>
          <w:tcPr>
            <w:tcW w:type="dxa" w:w="2736"/>
            <w:vAlign w:val="center"/>
          </w:tcPr>
          <w:p>
            <w:r>
              <w:rPr>
                <w:b w:val="0"/>
                <w:i w:val="0"/>
                <w:sz w:val="18"/>
              </w:rPr>
              <w:t>Emergency (safety/continuity/Award)</w:t>
            </w:r>
          </w:p>
        </w:tc>
        <w:tc>
          <w:tcPr>
            <w:tcW w:type="dxa" w:w="2160"/>
            <w:vAlign w:val="center"/>
          </w:tcPr>
          <w:p>
            <w:pPr>
              <w:jc w:val="center"/>
            </w:pPr>
            <w:r>
              <w:rPr>
                <w:b w:val="0"/>
                <w:i w:val="0"/>
                <w:sz w:val="18"/>
              </w:rPr>
              <w:t>No — immediate</w:t>
            </w:r>
          </w:p>
        </w:tc>
        <w:tc>
          <w:tcPr>
            <w:tcW w:type="dxa" w:w="3024"/>
            <w:vAlign w:val="center"/>
          </w:tcPr>
          <w:p>
            <w:r>
              <w:rPr>
                <w:b w:val="0"/>
                <w:i w:val="0"/>
                <w:sz w:val="18"/>
              </w:rPr>
              <w:t>Emergency Step-In (immediate)</w:t>
            </w:r>
          </w:p>
        </w:tc>
        <w:tc>
          <w:tcPr>
            <w:tcW w:type="dxa" w:w="2880"/>
            <w:vAlign w:val="center"/>
          </w:tcPr>
          <w:p>
            <w:r>
              <w:rPr>
                <w:b w:val="0"/>
                <w:i w:val="0"/>
                <w:sz w:val="18"/>
              </w:rPr>
              <w:t>Temporary; Tribal Assets only (5.2)</w:t>
            </w:r>
          </w:p>
        </w:tc>
      </w:tr>
    </w:tbl>
    <w:p>
      <w:pPr>
        <w:pStyle w:val="Heading1"/>
        <w:spacing w:before="240" w:after="120"/>
      </w:pPr>
      <w:r>
        <w:rPr>
          <w:rFonts w:ascii="Calibri" w:hAnsi="Calibri"/>
          <w:b/>
          <w:color w:val="1F3864"/>
          <w:sz w:val="26"/>
        </w:rPr>
        <w:t>ARTICLE 21.  TRANSITION CHECKLIST</w:t>
      </w:r>
    </w:p>
    <w:p>
      <w:r>
        <w:rPr>
          <w:b w:val="0"/>
          <w:i/>
        </w:rPr>
        <w:t>The following checklist operationalizes the transition. Owners and target timeframes are working defaults to be confirmed.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val="clear" w:color="auto" w:fill="1F3864"/>
            <w:vAlign w:val="center"/>
          </w:tcPr>
          <w:p>
            <w:pPr>
              <w:jc w:val="center"/>
            </w:pPr>
            <w:r>
              <w:rPr>
                <w:b/>
                <w:color w:val="FFFFFF"/>
                <w:sz w:val="18"/>
              </w:rPr>
              <w:t>#</w:t>
            </w:r>
          </w:p>
        </w:tc>
        <w:tc>
          <w:tcPr>
            <w:tcW w:type="dxa" w:w="3600"/>
            <w:shd w:val="clear" w:color="auto" w:fill="1F3864"/>
            <w:vAlign w:val="center"/>
          </w:tcPr>
          <w:p>
            <w:pPr>
              <w:jc w:val="center"/>
            </w:pPr>
            <w:r>
              <w:rPr>
                <w:b/>
                <w:color w:val="FFFFFF"/>
                <w:sz w:val="18"/>
              </w:rPr>
              <w:t>Transition Task</w:t>
            </w:r>
          </w:p>
        </w:tc>
        <w:tc>
          <w:tcPr>
            <w:tcW w:type="dxa" w:w="1440"/>
            <w:shd w:val="clear" w:color="auto" w:fill="1F3864"/>
            <w:vAlign w:val="center"/>
          </w:tcPr>
          <w:p>
            <w:pPr>
              <w:jc w:val="center"/>
            </w:pPr>
            <w:r>
              <w:rPr>
                <w:b/>
                <w:color w:val="FFFFFF"/>
                <w:sz w:val="18"/>
              </w:rPr>
              <w:t>Owner</w:t>
            </w:r>
          </w:p>
        </w:tc>
        <w:tc>
          <w:tcPr>
            <w:tcW w:type="dxa" w:w="2304"/>
            <w:shd w:val="clear" w:color="auto" w:fill="1F3864"/>
            <w:vAlign w:val="center"/>
          </w:tcPr>
          <w:p>
            <w:pPr>
              <w:jc w:val="center"/>
            </w:pPr>
            <w:r>
              <w:rPr>
                <w:b/>
                <w:color w:val="FFFFFF"/>
                <w:sz w:val="18"/>
              </w:rPr>
              <w:t>Target Timeframe</w:t>
            </w:r>
          </w:p>
        </w:tc>
        <w:tc>
          <w:tcPr>
            <w:tcW w:type="dxa" w:w="2592"/>
            <w:shd w:val="clear" w:color="auto" w:fill="1F3864"/>
            <w:vAlign w:val="center"/>
          </w:tcPr>
          <w:p>
            <w:pPr>
              <w:jc w:val="center"/>
            </w:pPr>
            <w:r>
              <w:rPr>
                <w:b/>
                <w:color w:val="FFFFFF"/>
                <w:sz w:val="18"/>
              </w:rPr>
              <w:t>Cross-Reference</w:t>
            </w:r>
          </w:p>
        </w:tc>
      </w:tr>
      <w:tr>
        <w:tc>
          <w:tcPr>
            <w:tcW w:type="dxa" w:w="576"/>
            <w:vAlign w:val="center"/>
          </w:tcPr>
          <w:p>
            <w:pPr>
              <w:jc w:val="center"/>
            </w:pPr>
            <w:r>
              <w:rPr>
                <w:b w:val="0"/>
                <w:i w:val="0"/>
                <w:sz w:val="18"/>
              </w:rPr>
              <w:t>1</w:t>
            </w:r>
          </w:p>
        </w:tc>
        <w:tc>
          <w:tcPr>
            <w:tcW w:type="dxa" w:w="3600"/>
            <w:vAlign w:val="center"/>
          </w:tcPr>
          <w:p>
            <w:r>
              <w:rPr>
                <w:b w:val="0"/>
                <w:i w:val="0"/>
                <w:sz w:val="18"/>
              </w:rPr>
              <w:t>Issue notice / declare Triggering Event</w:t>
            </w:r>
          </w:p>
        </w:tc>
        <w:tc>
          <w:tcPr>
            <w:tcW w:type="dxa" w:w="1440"/>
            <w:vAlign w:val="center"/>
          </w:tcPr>
          <w:p>
            <w:pPr>
              <w:jc w:val="center"/>
            </w:pPr>
            <w:r>
              <w:rPr>
                <w:b w:val="0"/>
                <w:i w:val="0"/>
                <w:sz w:val="18"/>
              </w:rPr>
              <w:t>Tribe</w:t>
            </w:r>
          </w:p>
        </w:tc>
        <w:tc>
          <w:tcPr>
            <w:tcW w:type="dxa" w:w="2304"/>
            <w:vAlign w:val="center"/>
          </w:tcPr>
          <w:p>
            <w:pPr>
              <w:jc w:val="center"/>
            </w:pPr>
            <w:r>
              <w:rPr>
                <w:b w:val="0"/>
                <w:i w:val="0"/>
                <w:sz w:val="18"/>
              </w:rPr>
              <w:t>Day 0</w:t>
            </w:r>
          </w:p>
        </w:tc>
        <w:tc>
          <w:tcPr>
            <w:tcW w:type="dxa" w:w="2592"/>
            <w:vAlign w:val="center"/>
          </w:tcPr>
          <w:p>
            <w:r>
              <w:rPr>
                <w:b w:val="0"/>
                <w:i w:val="0"/>
                <w:sz w:val="18"/>
              </w:rPr>
              <w:t>Art. 3</w:t>
            </w:r>
          </w:p>
        </w:tc>
      </w:tr>
      <w:tr>
        <w:tc>
          <w:tcPr>
            <w:tcW w:type="dxa" w:w="576"/>
            <w:shd w:val="clear" w:color="auto" w:fill="F2F2F2"/>
            <w:vAlign w:val="center"/>
          </w:tcPr>
          <w:p>
            <w:pPr>
              <w:jc w:val="center"/>
            </w:pPr>
            <w:r>
              <w:rPr>
                <w:b w:val="0"/>
                <w:i w:val="0"/>
                <w:sz w:val="18"/>
              </w:rPr>
              <w:t>2</w:t>
            </w:r>
          </w:p>
        </w:tc>
        <w:tc>
          <w:tcPr>
            <w:tcW w:type="dxa" w:w="3600"/>
            <w:shd w:val="clear" w:color="auto" w:fill="F2F2F2"/>
            <w:vAlign w:val="center"/>
          </w:tcPr>
          <w:p>
            <w:r>
              <w:rPr>
                <w:b w:val="0"/>
                <w:i w:val="0"/>
                <w:sz w:val="18"/>
              </w:rPr>
              <w:t>Cure period runs (if applicable)</w:t>
            </w:r>
          </w:p>
        </w:tc>
        <w:tc>
          <w:tcPr>
            <w:tcW w:type="dxa" w:w="1440"/>
            <w:shd w:val="clear" w:color="auto" w:fill="F2F2F2"/>
            <w:vAlign w:val="center"/>
          </w:tcPr>
          <w:p>
            <w:pPr>
              <w:jc w:val="center"/>
            </w:pPr>
            <w:r>
              <w:rPr>
                <w:b w:val="0"/>
                <w:i w:val="0"/>
                <w:sz w:val="18"/>
              </w:rPr>
              <w:t>RIVR Tech</w:t>
            </w:r>
          </w:p>
        </w:tc>
        <w:tc>
          <w:tcPr>
            <w:tcW w:type="dxa" w:w="2304"/>
            <w:shd w:val="clear" w:color="auto" w:fill="F2F2F2"/>
            <w:vAlign w:val="center"/>
          </w:tcPr>
          <w:p>
            <w:pPr>
              <w:jc w:val="center"/>
            </w:pPr>
            <w:r>
              <w:rPr>
                <w:b w:val="0"/>
                <w:i w:val="0"/>
                <w:sz w:val="18"/>
              </w:rPr>
              <w:t>30/60 days</w:t>
            </w:r>
          </w:p>
        </w:tc>
        <w:tc>
          <w:tcPr>
            <w:tcW w:type="dxa" w:w="2592"/>
            <w:shd w:val="clear" w:color="auto" w:fill="F2F2F2"/>
            <w:vAlign w:val="center"/>
          </w:tcPr>
          <w:p>
            <w:r>
              <w:rPr>
                <w:b w:val="0"/>
                <w:i w:val="0"/>
                <w:sz w:val="18"/>
              </w:rPr>
              <w:t>Art. 4</w:t>
            </w:r>
          </w:p>
        </w:tc>
      </w:tr>
      <w:tr>
        <w:tc>
          <w:tcPr>
            <w:tcW w:type="dxa" w:w="576"/>
            <w:vAlign w:val="center"/>
          </w:tcPr>
          <w:p>
            <w:pPr>
              <w:jc w:val="center"/>
            </w:pPr>
            <w:r>
              <w:rPr>
                <w:b w:val="0"/>
                <w:i w:val="0"/>
                <w:sz w:val="18"/>
              </w:rPr>
              <w:t>3</w:t>
            </w:r>
          </w:p>
        </w:tc>
        <w:tc>
          <w:tcPr>
            <w:tcW w:type="dxa" w:w="3600"/>
            <w:vAlign w:val="center"/>
          </w:tcPr>
          <w:p>
            <w:r>
              <w:rPr>
                <w:b w:val="0"/>
                <w:i w:val="0"/>
                <w:sz w:val="18"/>
              </w:rPr>
              <w:t>Emergency Step-In (if needed)</w:t>
            </w:r>
          </w:p>
        </w:tc>
        <w:tc>
          <w:tcPr>
            <w:tcW w:type="dxa" w:w="1440"/>
            <w:vAlign w:val="center"/>
          </w:tcPr>
          <w:p>
            <w:pPr>
              <w:jc w:val="center"/>
            </w:pPr>
            <w:r>
              <w:rPr>
                <w:b w:val="0"/>
                <w:i w:val="0"/>
                <w:sz w:val="18"/>
              </w:rPr>
              <w:t>Tribe/designee</w:t>
            </w:r>
          </w:p>
        </w:tc>
        <w:tc>
          <w:tcPr>
            <w:tcW w:type="dxa" w:w="2304"/>
            <w:vAlign w:val="center"/>
          </w:tcPr>
          <w:p>
            <w:pPr>
              <w:jc w:val="center"/>
            </w:pPr>
            <w:r>
              <w:rPr>
                <w:b w:val="0"/>
                <w:i w:val="0"/>
                <w:sz w:val="18"/>
              </w:rPr>
              <w:t>Immediate</w:t>
            </w:r>
          </w:p>
        </w:tc>
        <w:tc>
          <w:tcPr>
            <w:tcW w:type="dxa" w:w="2592"/>
            <w:vAlign w:val="center"/>
          </w:tcPr>
          <w:p>
            <w:r>
              <w:rPr>
                <w:b w:val="0"/>
                <w:i w:val="0"/>
                <w:sz w:val="18"/>
              </w:rPr>
              <w:t>Art. 5</w:t>
            </w:r>
          </w:p>
        </w:tc>
      </w:tr>
      <w:tr>
        <w:tc>
          <w:tcPr>
            <w:tcW w:type="dxa" w:w="576"/>
            <w:shd w:val="clear" w:color="auto" w:fill="F2F2F2"/>
            <w:vAlign w:val="center"/>
          </w:tcPr>
          <w:p>
            <w:pPr>
              <w:jc w:val="center"/>
            </w:pPr>
            <w:r>
              <w:rPr>
                <w:b w:val="0"/>
                <w:i w:val="0"/>
                <w:sz w:val="18"/>
              </w:rPr>
              <w:t>4</w:t>
            </w:r>
          </w:p>
        </w:tc>
        <w:tc>
          <w:tcPr>
            <w:tcW w:type="dxa" w:w="3600"/>
            <w:shd w:val="clear" w:color="auto" w:fill="F2F2F2"/>
            <w:vAlign w:val="center"/>
          </w:tcPr>
          <w:p>
            <w:r>
              <w:rPr>
                <w:b w:val="0"/>
                <w:i w:val="0"/>
                <w:sz w:val="18"/>
              </w:rPr>
              <w:t>Transfer credentials &amp; system access</w:t>
            </w:r>
          </w:p>
        </w:tc>
        <w:tc>
          <w:tcPr>
            <w:tcW w:type="dxa" w:w="1440"/>
            <w:shd w:val="clear" w:color="auto" w:fill="F2F2F2"/>
            <w:vAlign w:val="center"/>
          </w:tcPr>
          <w:p>
            <w:pPr>
              <w:jc w:val="center"/>
            </w:pPr>
            <w:r>
              <w:rPr>
                <w:b w:val="0"/>
                <w:i w:val="0"/>
                <w:sz w:val="18"/>
              </w:rPr>
              <w:t>RIVR Tech</w:t>
            </w:r>
          </w:p>
        </w:tc>
        <w:tc>
          <w:tcPr>
            <w:tcW w:type="dxa" w:w="2304"/>
            <w:shd w:val="clear" w:color="auto" w:fill="F2F2F2"/>
            <w:vAlign w:val="center"/>
          </w:tcPr>
          <w:p>
            <w:pPr>
              <w:jc w:val="center"/>
            </w:pPr>
            <w:r>
              <w:rPr>
                <w:b w:val="0"/>
                <w:i w:val="0"/>
                <w:color w:val="804000"/>
                <w:sz w:val="18"/>
                <w:highlight w:val="yellow"/>
              </w:rPr>
              <w:t>[■ e.g., ≤ 5 business days]</w:t>
            </w:r>
          </w:p>
        </w:tc>
        <w:tc>
          <w:tcPr>
            <w:tcW w:type="dxa" w:w="2592"/>
            <w:shd w:val="clear" w:color="auto" w:fill="F2F2F2"/>
            <w:vAlign w:val="center"/>
          </w:tcPr>
          <w:p>
            <w:r>
              <w:rPr>
                <w:b w:val="0"/>
                <w:i w:val="0"/>
                <w:sz w:val="18"/>
              </w:rPr>
              <w:t>Art. 7</w:t>
            </w:r>
          </w:p>
        </w:tc>
      </w:tr>
      <w:tr>
        <w:tc>
          <w:tcPr>
            <w:tcW w:type="dxa" w:w="576"/>
            <w:vAlign w:val="center"/>
          </w:tcPr>
          <w:p>
            <w:pPr>
              <w:jc w:val="center"/>
            </w:pPr>
            <w:r>
              <w:rPr>
                <w:b w:val="0"/>
                <w:i w:val="0"/>
                <w:sz w:val="18"/>
              </w:rPr>
              <w:t>5</w:t>
            </w:r>
          </w:p>
        </w:tc>
        <w:tc>
          <w:tcPr>
            <w:tcW w:type="dxa" w:w="3600"/>
            <w:vAlign w:val="center"/>
          </w:tcPr>
          <w:p>
            <w:r>
              <w:rPr>
                <w:b w:val="0"/>
                <w:i w:val="0"/>
                <w:sz w:val="18"/>
              </w:rPr>
              <w:t>Confirm customer continuity &amp; billing</w:t>
            </w:r>
          </w:p>
        </w:tc>
        <w:tc>
          <w:tcPr>
            <w:tcW w:type="dxa" w:w="1440"/>
            <w:vAlign w:val="center"/>
          </w:tcPr>
          <w:p>
            <w:pPr>
              <w:jc w:val="center"/>
            </w:pPr>
            <w:r>
              <w:rPr>
                <w:b w:val="0"/>
                <w:i w:val="0"/>
                <w:sz w:val="18"/>
              </w:rPr>
              <w:t>Both</w:t>
            </w:r>
          </w:p>
        </w:tc>
        <w:tc>
          <w:tcPr>
            <w:tcW w:type="dxa" w:w="2304"/>
            <w:vAlign w:val="center"/>
          </w:tcPr>
          <w:p>
            <w:pPr>
              <w:jc w:val="center"/>
            </w:pPr>
            <w:r>
              <w:rPr>
                <w:b w:val="0"/>
                <w:i w:val="0"/>
                <w:sz w:val="18"/>
              </w:rPr>
              <w:t>Continuous</w:t>
            </w:r>
          </w:p>
        </w:tc>
        <w:tc>
          <w:tcPr>
            <w:tcW w:type="dxa" w:w="2592"/>
            <w:vAlign w:val="center"/>
          </w:tcPr>
          <w:p>
            <w:r>
              <w:rPr>
                <w:b w:val="0"/>
                <w:i w:val="0"/>
                <w:sz w:val="18"/>
              </w:rPr>
              <w:t>Art. 8</w:t>
            </w:r>
          </w:p>
        </w:tc>
      </w:tr>
      <w:tr>
        <w:tc>
          <w:tcPr>
            <w:tcW w:type="dxa" w:w="576"/>
            <w:shd w:val="clear" w:color="auto" w:fill="F2F2F2"/>
            <w:vAlign w:val="center"/>
          </w:tcPr>
          <w:p>
            <w:pPr>
              <w:jc w:val="center"/>
            </w:pPr>
            <w:r>
              <w:rPr>
                <w:b w:val="0"/>
                <w:i w:val="0"/>
                <w:sz w:val="18"/>
              </w:rPr>
              <w:t>6</w:t>
            </w:r>
          </w:p>
        </w:tc>
        <w:tc>
          <w:tcPr>
            <w:tcW w:type="dxa" w:w="3600"/>
            <w:shd w:val="clear" w:color="auto" w:fill="F2F2F2"/>
            <w:vAlign w:val="center"/>
          </w:tcPr>
          <w:p>
            <w:r>
              <w:rPr>
                <w:b w:val="0"/>
                <w:i w:val="0"/>
                <w:sz w:val="18"/>
              </w:rPr>
              <w:t>Transfer operational &amp; grant records</w:t>
            </w:r>
          </w:p>
        </w:tc>
        <w:tc>
          <w:tcPr>
            <w:tcW w:type="dxa" w:w="1440"/>
            <w:shd w:val="clear" w:color="auto" w:fill="F2F2F2"/>
            <w:vAlign w:val="center"/>
          </w:tcPr>
          <w:p>
            <w:pPr>
              <w:jc w:val="center"/>
            </w:pPr>
            <w:r>
              <w:rPr>
                <w:b w:val="0"/>
                <w:i w:val="0"/>
                <w:sz w:val="18"/>
              </w:rPr>
              <w:t>RIVR Tech</w:t>
            </w:r>
          </w:p>
        </w:tc>
        <w:tc>
          <w:tcPr>
            <w:tcW w:type="dxa" w:w="2304"/>
            <w:shd w:val="clear" w:color="auto" w:fill="F2F2F2"/>
            <w:vAlign w:val="center"/>
          </w:tcPr>
          <w:p>
            <w:pPr>
              <w:jc w:val="center"/>
            </w:pPr>
            <w:r>
              <w:rPr>
                <w:b w:val="0"/>
                <w:i w:val="0"/>
                <w:color w:val="804000"/>
                <w:sz w:val="18"/>
                <w:highlight w:val="yellow"/>
              </w:rPr>
              <w:t>[■ e.g., ≤ 15 days]</w:t>
            </w:r>
          </w:p>
        </w:tc>
        <w:tc>
          <w:tcPr>
            <w:tcW w:type="dxa" w:w="2592"/>
            <w:shd w:val="clear" w:color="auto" w:fill="F2F2F2"/>
            <w:vAlign w:val="center"/>
          </w:tcPr>
          <w:p>
            <w:r>
              <w:rPr>
                <w:b w:val="0"/>
                <w:i w:val="0"/>
                <w:sz w:val="18"/>
              </w:rPr>
              <w:t>Art. 9; 2 CFR 200.334–200.337 (Record retention and access; three-year retention)</w:t>
            </w:r>
          </w:p>
        </w:tc>
      </w:tr>
      <w:tr>
        <w:tc>
          <w:tcPr>
            <w:tcW w:type="dxa" w:w="576"/>
            <w:vAlign w:val="center"/>
          </w:tcPr>
          <w:p>
            <w:pPr>
              <w:jc w:val="center"/>
            </w:pPr>
            <w:r>
              <w:rPr>
                <w:b w:val="0"/>
                <w:i w:val="0"/>
                <w:sz w:val="18"/>
              </w:rPr>
              <w:t>7</w:t>
            </w:r>
          </w:p>
        </w:tc>
        <w:tc>
          <w:tcPr>
            <w:tcW w:type="dxa" w:w="3600"/>
            <w:vAlign w:val="center"/>
          </w:tcPr>
          <w:p>
            <w:r>
              <w:rPr>
                <w:b w:val="0"/>
                <w:i w:val="0"/>
                <w:sz w:val="18"/>
              </w:rPr>
              <w:t>Port numbers / transfer accounts</w:t>
            </w:r>
          </w:p>
        </w:tc>
        <w:tc>
          <w:tcPr>
            <w:tcW w:type="dxa" w:w="1440"/>
            <w:vAlign w:val="center"/>
          </w:tcPr>
          <w:p>
            <w:pPr>
              <w:jc w:val="center"/>
            </w:pPr>
            <w:r>
              <w:rPr>
                <w:b w:val="0"/>
                <w:i w:val="0"/>
                <w:sz w:val="18"/>
              </w:rPr>
              <w:t>RIVR Tech</w:t>
            </w:r>
          </w:p>
        </w:tc>
        <w:tc>
          <w:tcPr>
            <w:tcW w:type="dxa" w:w="2304"/>
            <w:vAlign w:val="center"/>
          </w:tcPr>
          <w:p>
            <w:pPr>
              <w:jc w:val="center"/>
            </w:pPr>
            <w:r>
              <w:rPr>
                <w:b w:val="0"/>
                <w:i w:val="0"/>
                <w:sz w:val="18"/>
              </w:rPr>
              <w:t>Per LNP rules</w:t>
            </w:r>
          </w:p>
        </w:tc>
        <w:tc>
          <w:tcPr>
            <w:tcW w:type="dxa" w:w="2592"/>
            <w:vAlign w:val="center"/>
          </w:tcPr>
          <w:p>
            <w:r>
              <w:rPr>
                <w:b w:val="0"/>
                <w:i w:val="0"/>
                <w:sz w:val="18"/>
              </w:rPr>
              <w:t>Art. 10</w:t>
            </w:r>
          </w:p>
        </w:tc>
      </w:tr>
      <w:tr>
        <w:tc>
          <w:tcPr>
            <w:tcW w:type="dxa" w:w="576"/>
            <w:shd w:val="clear" w:color="auto" w:fill="F2F2F2"/>
            <w:vAlign w:val="center"/>
          </w:tcPr>
          <w:p>
            <w:pPr>
              <w:jc w:val="center"/>
            </w:pPr>
            <w:r>
              <w:rPr>
                <w:b w:val="0"/>
                <w:i w:val="0"/>
                <w:sz w:val="18"/>
              </w:rPr>
              <w:t>8</w:t>
            </w:r>
          </w:p>
        </w:tc>
        <w:tc>
          <w:tcPr>
            <w:tcW w:type="dxa" w:w="3600"/>
            <w:shd w:val="clear" w:color="auto" w:fill="F2F2F2"/>
            <w:vAlign w:val="center"/>
          </w:tcPr>
          <w:p>
            <w:r>
              <w:rPr>
                <w:b w:val="0"/>
                <w:i w:val="0"/>
                <w:sz w:val="18"/>
              </w:rPr>
              <w:t>Assign / step into vendor contracts</w:t>
            </w:r>
          </w:p>
        </w:tc>
        <w:tc>
          <w:tcPr>
            <w:tcW w:type="dxa" w:w="1440"/>
            <w:shd w:val="clear" w:color="auto" w:fill="F2F2F2"/>
            <w:vAlign w:val="center"/>
          </w:tcPr>
          <w:p>
            <w:pPr>
              <w:jc w:val="center"/>
            </w:pPr>
            <w:r>
              <w:rPr>
                <w:b w:val="0"/>
                <w:i w:val="0"/>
                <w:sz w:val="18"/>
              </w:rPr>
              <w:t>RIVR Tech</w:t>
            </w:r>
          </w:p>
        </w:tc>
        <w:tc>
          <w:tcPr>
            <w:tcW w:type="dxa" w:w="2304"/>
            <w:shd w:val="clear" w:color="auto" w:fill="F2F2F2"/>
            <w:vAlign w:val="center"/>
          </w:tcPr>
          <w:p>
            <w:pPr>
              <w:jc w:val="center"/>
            </w:pPr>
            <w:r>
              <w:rPr>
                <w:b w:val="0"/>
                <w:i w:val="0"/>
                <w:color w:val="804000"/>
                <w:sz w:val="18"/>
                <w:highlight w:val="yellow"/>
              </w:rPr>
              <w:t>[■ e.g., ≤ 30 days]</w:t>
            </w:r>
          </w:p>
        </w:tc>
        <w:tc>
          <w:tcPr>
            <w:tcW w:type="dxa" w:w="2592"/>
            <w:shd w:val="clear" w:color="auto" w:fill="F2F2F2"/>
            <w:vAlign w:val="center"/>
          </w:tcPr>
          <w:p>
            <w:r>
              <w:rPr>
                <w:b w:val="0"/>
                <w:i w:val="0"/>
                <w:sz w:val="18"/>
              </w:rPr>
              <w:t>Art. 11</w:t>
            </w:r>
          </w:p>
        </w:tc>
      </w:tr>
      <w:tr>
        <w:tc>
          <w:tcPr>
            <w:tcW w:type="dxa" w:w="576"/>
            <w:vAlign w:val="center"/>
          </w:tcPr>
          <w:p>
            <w:pPr>
              <w:jc w:val="center"/>
            </w:pPr>
            <w:r>
              <w:rPr>
                <w:b w:val="0"/>
                <w:i w:val="0"/>
                <w:sz w:val="18"/>
              </w:rPr>
              <w:t>9</w:t>
            </w:r>
          </w:p>
        </w:tc>
        <w:tc>
          <w:tcPr>
            <w:tcW w:type="dxa" w:w="3600"/>
            <w:vAlign w:val="center"/>
          </w:tcPr>
          <w:p>
            <w:r>
              <w:rPr>
                <w:b w:val="0"/>
                <w:i w:val="0"/>
                <w:sz w:val="18"/>
              </w:rPr>
              <w:t>Assign / replace software; escrow release</w:t>
            </w:r>
          </w:p>
        </w:tc>
        <w:tc>
          <w:tcPr>
            <w:tcW w:type="dxa" w:w="1440"/>
            <w:vAlign w:val="center"/>
          </w:tcPr>
          <w:p>
            <w:pPr>
              <w:jc w:val="center"/>
            </w:pPr>
            <w:r>
              <w:rPr>
                <w:b w:val="0"/>
                <w:i w:val="0"/>
                <w:sz w:val="18"/>
              </w:rPr>
              <w:t>RIVR Tech</w:t>
            </w:r>
          </w:p>
        </w:tc>
        <w:tc>
          <w:tcPr>
            <w:tcW w:type="dxa" w:w="2304"/>
            <w:vAlign w:val="center"/>
          </w:tcPr>
          <w:p>
            <w:pPr>
              <w:jc w:val="center"/>
            </w:pPr>
            <w:r>
              <w:rPr>
                <w:b w:val="0"/>
                <w:i w:val="0"/>
                <w:color w:val="804000"/>
                <w:sz w:val="18"/>
                <w:highlight w:val="yellow"/>
              </w:rPr>
              <w:t>[■ e.g., ≤ 30 days]</w:t>
            </w:r>
          </w:p>
        </w:tc>
        <w:tc>
          <w:tcPr>
            <w:tcW w:type="dxa" w:w="2592"/>
            <w:vAlign w:val="center"/>
          </w:tcPr>
          <w:p>
            <w:r>
              <w:rPr>
                <w:b w:val="0"/>
                <w:i w:val="0"/>
                <w:sz w:val="18"/>
              </w:rPr>
              <w:t>Art. 12</w:t>
            </w:r>
          </w:p>
        </w:tc>
      </w:tr>
      <w:tr>
        <w:tc>
          <w:tcPr>
            <w:tcW w:type="dxa" w:w="576"/>
            <w:shd w:val="clear" w:color="auto" w:fill="F2F2F2"/>
            <w:vAlign w:val="center"/>
          </w:tcPr>
          <w:p>
            <w:pPr>
              <w:jc w:val="center"/>
            </w:pPr>
            <w:r>
              <w:rPr>
                <w:b w:val="0"/>
                <w:i w:val="0"/>
                <w:sz w:val="18"/>
              </w:rPr>
              <w:t>10</w:t>
            </w:r>
          </w:p>
        </w:tc>
        <w:tc>
          <w:tcPr>
            <w:tcW w:type="dxa" w:w="3600"/>
            <w:shd w:val="clear" w:color="auto" w:fill="F2F2F2"/>
            <w:vAlign w:val="center"/>
          </w:tcPr>
          <w:p>
            <w:r>
              <w:rPr>
                <w:b w:val="0"/>
                <w:i w:val="0"/>
                <w:sz w:val="18"/>
              </w:rPr>
              <w:t>Transfer inventory, spares; train staff</w:t>
            </w:r>
          </w:p>
        </w:tc>
        <w:tc>
          <w:tcPr>
            <w:tcW w:type="dxa" w:w="1440"/>
            <w:shd w:val="clear" w:color="auto" w:fill="F2F2F2"/>
            <w:vAlign w:val="center"/>
          </w:tcPr>
          <w:p>
            <w:pPr>
              <w:jc w:val="center"/>
            </w:pPr>
            <w:r>
              <w:rPr>
                <w:b w:val="0"/>
                <w:i w:val="0"/>
                <w:sz w:val="18"/>
              </w:rPr>
              <w:t>RIVR Tech</w:t>
            </w:r>
          </w:p>
        </w:tc>
        <w:tc>
          <w:tcPr>
            <w:tcW w:type="dxa" w:w="2304"/>
            <w:shd w:val="clear" w:color="auto" w:fill="F2F2F2"/>
            <w:vAlign w:val="center"/>
          </w:tcPr>
          <w:p>
            <w:pPr>
              <w:jc w:val="center"/>
            </w:pPr>
            <w:r>
              <w:rPr>
                <w:b w:val="0"/>
                <w:i w:val="0"/>
                <w:sz w:val="18"/>
              </w:rPr>
              <w:t>During TA period</w:t>
            </w:r>
          </w:p>
        </w:tc>
        <w:tc>
          <w:tcPr>
            <w:tcW w:type="dxa" w:w="2592"/>
            <w:shd w:val="clear" w:color="auto" w:fill="F2F2F2"/>
            <w:vAlign w:val="center"/>
          </w:tcPr>
          <w:p>
            <w:r>
              <w:rPr>
                <w:b w:val="0"/>
                <w:i w:val="0"/>
                <w:sz w:val="18"/>
              </w:rPr>
              <w:t>Art. 13</w:t>
            </w:r>
          </w:p>
        </w:tc>
      </w:tr>
      <w:tr>
        <w:tc>
          <w:tcPr>
            <w:tcW w:type="dxa" w:w="576"/>
            <w:vAlign w:val="center"/>
          </w:tcPr>
          <w:p>
            <w:pPr>
              <w:jc w:val="center"/>
            </w:pPr>
            <w:r>
              <w:rPr>
                <w:b w:val="0"/>
                <w:i w:val="0"/>
                <w:sz w:val="18"/>
              </w:rPr>
              <w:t>11</w:t>
            </w:r>
          </w:p>
        </w:tc>
        <w:tc>
          <w:tcPr>
            <w:tcW w:type="dxa" w:w="3600"/>
            <w:vAlign w:val="center"/>
          </w:tcPr>
          <w:p>
            <w:r>
              <w:rPr>
                <w:b w:val="0"/>
                <w:i w:val="0"/>
                <w:sz w:val="18"/>
              </w:rPr>
              <w:t>Transfer / destroy Customer Data</w:t>
            </w:r>
          </w:p>
        </w:tc>
        <w:tc>
          <w:tcPr>
            <w:tcW w:type="dxa" w:w="1440"/>
            <w:vAlign w:val="center"/>
          </w:tcPr>
          <w:p>
            <w:pPr>
              <w:jc w:val="center"/>
            </w:pPr>
            <w:r>
              <w:rPr>
                <w:b w:val="0"/>
                <w:i w:val="0"/>
                <w:sz w:val="18"/>
              </w:rPr>
              <w:t>RIVR Tech</w:t>
            </w:r>
          </w:p>
        </w:tc>
        <w:tc>
          <w:tcPr>
            <w:tcW w:type="dxa" w:w="2304"/>
            <w:vAlign w:val="center"/>
          </w:tcPr>
          <w:p>
            <w:pPr>
              <w:jc w:val="center"/>
            </w:pPr>
            <w:r>
              <w:rPr>
                <w:b w:val="0"/>
                <w:i w:val="0"/>
                <w:sz w:val="18"/>
              </w:rPr>
              <w:t>Per 02.06 Arts. 17–18</w:t>
            </w:r>
          </w:p>
        </w:tc>
        <w:tc>
          <w:tcPr>
            <w:tcW w:type="dxa" w:w="2592"/>
            <w:vAlign w:val="center"/>
          </w:tcPr>
          <w:p>
            <w:r>
              <w:rPr>
                <w:b w:val="0"/>
                <w:i w:val="0"/>
                <w:sz w:val="18"/>
              </w:rPr>
              <w:t>Doc 02.06</w:t>
            </w:r>
          </w:p>
        </w:tc>
      </w:tr>
      <w:tr>
        <w:tc>
          <w:tcPr>
            <w:tcW w:type="dxa" w:w="576"/>
            <w:shd w:val="clear" w:color="auto" w:fill="F2F2F2"/>
            <w:vAlign w:val="center"/>
          </w:tcPr>
          <w:p>
            <w:pPr>
              <w:jc w:val="center"/>
            </w:pPr>
            <w:r>
              <w:rPr>
                <w:b w:val="0"/>
                <w:i w:val="0"/>
                <w:sz w:val="18"/>
              </w:rPr>
              <w:t>12</w:t>
            </w:r>
          </w:p>
        </w:tc>
        <w:tc>
          <w:tcPr>
            <w:tcW w:type="dxa" w:w="3600"/>
            <w:shd w:val="clear" w:color="auto" w:fill="F2F2F2"/>
            <w:vAlign w:val="center"/>
          </w:tcPr>
          <w:p>
            <w:r>
              <w:rPr>
                <w:b w:val="0"/>
                <w:i w:val="0"/>
                <w:sz w:val="18"/>
              </w:rPr>
              <w:t>Complete Transition-Assistance Period</w:t>
            </w:r>
          </w:p>
        </w:tc>
        <w:tc>
          <w:tcPr>
            <w:tcW w:type="dxa" w:w="1440"/>
            <w:shd w:val="clear" w:color="auto" w:fill="F2F2F2"/>
            <w:vAlign w:val="center"/>
          </w:tcPr>
          <w:p>
            <w:pPr>
              <w:jc w:val="center"/>
            </w:pPr>
            <w:r>
              <w:rPr>
                <w:b w:val="0"/>
                <w:i w:val="0"/>
                <w:sz w:val="18"/>
              </w:rPr>
              <w:t>Both</w:t>
            </w:r>
          </w:p>
        </w:tc>
        <w:tc>
          <w:tcPr>
            <w:tcW w:type="dxa" w:w="2304"/>
            <w:shd w:val="clear" w:color="auto" w:fill="F2F2F2"/>
            <w:vAlign w:val="center"/>
          </w:tcPr>
          <w:p>
            <w:pPr>
              <w:jc w:val="center"/>
            </w:pPr>
            <w:r>
              <w:rPr>
                <w:b w:val="0"/>
                <w:i w:val="0"/>
                <w:sz w:val="18"/>
              </w:rPr>
              <w:t>12 months (extendable)</w:t>
            </w:r>
          </w:p>
        </w:tc>
        <w:tc>
          <w:tcPr>
            <w:tcW w:type="dxa" w:w="2592"/>
            <w:shd w:val="clear" w:color="auto" w:fill="F2F2F2"/>
            <w:vAlign w:val="center"/>
          </w:tcPr>
          <w:p>
            <w:r>
              <w:rPr>
                <w:b w:val="0"/>
                <w:i w:val="0"/>
                <w:sz w:val="18"/>
              </w:rPr>
              <w:t>Art. 15</w:t>
            </w:r>
          </w:p>
        </w:tc>
      </w:tr>
      <w:tr>
        <w:tc>
          <w:tcPr>
            <w:tcW w:type="dxa" w:w="576"/>
            <w:vAlign w:val="center"/>
          </w:tcPr>
          <w:p>
            <w:pPr>
              <w:jc w:val="center"/>
            </w:pPr>
            <w:r>
              <w:rPr>
                <w:b w:val="0"/>
                <w:i w:val="0"/>
                <w:sz w:val="18"/>
              </w:rPr>
              <w:t>13</w:t>
            </w:r>
          </w:p>
        </w:tc>
        <w:tc>
          <w:tcPr>
            <w:tcW w:type="dxa" w:w="3600"/>
            <w:vAlign w:val="center"/>
          </w:tcPr>
          <w:p>
            <w:r>
              <w:rPr>
                <w:b w:val="0"/>
                <w:i w:val="0"/>
                <w:sz w:val="18"/>
              </w:rPr>
              <w:t>Final reconciliation &amp; program-income accounting</w:t>
            </w:r>
          </w:p>
        </w:tc>
        <w:tc>
          <w:tcPr>
            <w:tcW w:type="dxa" w:w="1440"/>
            <w:vAlign w:val="center"/>
          </w:tcPr>
          <w:p>
            <w:pPr>
              <w:jc w:val="center"/>
            </w:pPr>
            <w:r>
              <w:rPr>
                <w:b w:val="0"/>
                <w:i w:val="0"/>
                <w:sz w:val="18"/>
              </w:rPr>
              <w:t>Both</w:t>
            </w:r>
          </w:p>
        </w:tc>
        <w:tc>
          <w:tcPr>
            <w:tcW w:type="dxa" w:w="2304"/>
            <w:vAlign w:val="center"/>
          </w:tcPr>
          <w:p>
            <w:pPr>
              <w:jc w:val="center"/>
            </w:pPr>
            <w:r>
              <w:rPr>
                <w:b w:val="0"/>
                <w:i w:val="0"/>
                <w:color w:val="804000"/>
                <w:sz w:val="18"/>
                <w:highlight w:val="yellow"/>
              </w:rPr>
              <w:t>[■ e.g., ≤ 60 days after cutover]</w:t>
            </w:r>
          </w:p>
        </w:tc>
        <w:tc>
          <w:tcPr>
            <w:tcW w:type="dxa" w:w="2592"/>
            <w:vAlign w:val="center"/>
          </w:tcPr>
          <w:p>
            <w:r>
              <w:rPr>
                <w:b w:val="0"/>
                <w:i w:val="0"/>
                <w:sz w:val="18"/>
              </w:rPr>
              <w:t>Art. 19</w:t>
            </w:r>
          </w:p>
        </w:tc>
      </w:tr>
      <w:tr>
        <w:tc>
          <w:tcPr>
            <w:tcW w:type="dxa" w:w="576"/>
            <w:shd w:val="clear" w:color="auto" w:fill="F2F2F2"/>
            <w:vAlign w:val="center"/>
          </w:tcPr>
          <w:p>
            <w:pPr>
              <w:jc w:val="center"/>
            </w:pPr>
            <w:r>
              <w:rPr>
                <w:b w:val="0"/>
                <w:i w:val="0"/>
                <w:sz w:val="18"/>
              </w:rPr>
              <w:t>14</w:t>
            </w:r>
          </w:p>
        </w:tc>
        <w:tc>
          <w:tcPr>
            <w:tcW w:type="dxa" w:w="3600"/>
            <w:shd w:val="clear" w:color="auto" w:fill="F2F2F2"/>
            <w:vAlign w:val="center"/>
          </w:tcPr>
          <w:p>
            <w:r>
              <w:rPr>
                <w:b w:val="0"/>
                <w:i w:val="0"/>
                <w:sz w:val="18"/>
              </w:rPr>
              <w:t>Confirm Tribal Asset title &amp; Federal Interest intact</w:t>
            </w:r>
          </w:p>
        </w:tc>
        <w:tc>
          <w:tcPr>
            <w:tcW w:type="dxa" w:w="1440"/>
            <w:shd w:val="clear" w:color="auto" w:fill="F2F2F2"/>
            <w:vAlign w:val="center"/>
          </w:tcPr>
          <w:p>
            <w:pPr>
              <w:jc w:val="center"/>
            </w:pPr>
            <w:r>
              <w:rPr>
                <w:b w:val="0"/>
                <w:i w:val="0"/>
                <w:sz w:val="18"/>
              </w:rPr>
              <w:t>Tribe</w:t>
            </w:r>
          </w:p>
        </w:tc>
        <w:tc>
          <w:tcPr>
            <w:tcW w:type="dxa" w:w="2304"/>
            <w:shd w:val="clear" w:color="auto" w:fill="F2F2F2"/>
            <w:vAlign w:val="center"/>
          </w:tcPr>
          <w:p>
            <w:pPr>
              <w:jc w:val="center"/>
            </w:pPr>
            <w:r>
              <w:rPr>
                <w:b w:val="0"/>
                <w:i w:val="0"/>
                <w:sz w:val="18"/>
              </w:rPr>
              <w:t>Before closeout</w:t>
            </w:r>
          </w:p>
        </w:tc>
        <w:tc>
          <w:tcPr>
            <w:tcW w:type="dxa" w:w="2592"/>
            <w:shd w:val="clear" w:color="auto" w:fill="F2F2F2"/>
            <w:vAlign w:val="center"/>
          </w:tcPr>
          <w:p>
            <w:r>
              <w:rPr>
                <w:b w:val="0"/>
                <w:i w:val="0"/>
                <w:sz w:val="18"/>
              </w:rPr>
              <w:t>Art. 18; 2 CFR 200.344 (Closeout) and 2 CFR 200.345 (Post-closeout adjustments and continuing responsibilities)</w:t>
            </w:r>
          </w:p>
        </w:tc>
      </w:tr>
    </w:tbl>
    <w:p>
      <w:pPr>
        <w:pStyle w:val="Heading1"/>
        <w:spacing w:before="240" w:after="120"/>
      </w:pPr>
      <w:r>
        <w:rPr>
          <w:rFonts w:ascii="Calibri" w:hAnsi="Calibri"/>
          <w:b/>
          <w:color w:val="1F3864"/>
          <w:sz w:val="26"/>
        </w:rPr>
        <w:t>ARTICLE 22.  GENERAL PROVISIONS</w:t>
      </w:r>
    </w:p>
    <w:p>
      <w:pPr>
        <w:pStyle w:val="Heading2"/>
        <w:spacing w:before="160" w:after="60"/>
      </w:pPr>
      <w:r>
        <w:rPr>
          <w:rFonts w:ascii="Calibri" w:hAnsi="Calibri"/>
          <w:b/>
          <w:color w:val="000000"/>
          <w:sz w:val="22"/>
        </w:rPr>
        <w:t>22.1  Governing Law</w:t>
      </w:r>
    </w:p>
    <w:p>
      <w:r>
        <w:rPr>
          <w:b w:val="0"/>
          <w:i w:val="0"/>
        </w:rPr>
        <w:t xml:space="preserve">The governing law of this Plan is not finalized. The Parties will select from: (a) the law of the North Carolina (excluding conflicts principles); (b) the law of the North Carolina for commercial matters with the law and jurisdiction of the Lumbee Tribe of North Carolina governing questions of Tribal sovereignty and conduct within the Service Territory; or (c) federal law where it controls the Award. </w:t>
      </w:r>
      <w:r>
        <w:rPr>
          <w:b w:val="0"/>
          <w:i w:val="0"/>
          <w:color w:val="804000"/>
          <w:highlight w:val="yellow"/>
        </w:rPr>
        <w:t>[■ selected governing-law alternative]</w:t>
      </w:r>
      <w:r>
        <w:rPr>
          <w:b w:val="0"/>
          <w:i w:val="0"/>
        </w:rPr>
        <w:t>.</w:t>
      </w:r>
    </w:p>
    <w:p>
      <w:pPr>
        <w:ind w:left="504"/>
      </w:pPr>
      <w:r>
        <w:rPr>
          <w:b/>
          <w:color w:val="0000C0"/>
        </w:rPr>
        <w:t xml:space="preserve">[ATTORNEY REVIEW REQUIRED]  </w:t>
      </w:r>
      <w:r>
        <w:rPr>
          <w:i/>
          <w:color w:val="595959"/>
        </w:rPr>
        <w:t>Governing law, dispute resolution, and any limited waiver of sovereign immunity must not be selected silently. Reconcile with the Master Agreement and confirm with counsel for the Tribe.</w:t>
      </w:r>
    </w:p>
    <w:p>
      <w:pPr>
        <w:pStyle w:val="Heading2"/>
        <w:spacing w:before="160" w:after="60"/>
      </w:pPr>
      <w:r>
        <w:rPr>
          <w:rFonts w:ascii="Calibri" w:hAnsi="Calibri"/>
          <w:b/>
          <w:color w:val="000000"/>
          <w:sz w:val="22"/>
        </w:rPr>
        <w:t>22.2  Sovereign Immunity</w:t>
      </w:r>
    </w:p>
    <w:p>
      <w:r>
        <w:rPr>
          <w:b w:val="0"/>
          <w:i w:val="0"/>
        </w:rPr>
        <w:t xml:space="preserve">Nothing in this Plan waives the sovereign immunity of the Lumbee Tribe of North Carolina. Any limited waiver must be express, written, specific as to claims and remedies, and authorized under Tribal law. </w:t>
      </w:r>
      <w:r>
        <w:rPr>
          <w:b w:val="0"/>
          <w:i w:val="0"/>
          <w:color w:val="804000"/>
          <w:highlight w:val="yellow"/>
        </w:rPr>
        <w:t>[■ cross-reference Master Agreement sovereign-immunity section]</w:t>
      </w:r>
      <w:r>
        <w:rPr>
          <w:b w:val="0"/>
          <w:i w:val="0"/>
        </w:rPr>
        <w:t>.</w:t>
      </w:r>
    </w:p>
    <w:p>
      <w:pPr>
        <w:pStyle w:val="Heading2"/>
        <w:spacing w:before="160" w:after="60"/>
      </w:pPr>
      <w:r>
        <w:rPr>
          <w:rFonts w:ascii="Calibri" w:hAnsi="Calibri"/>
          <w:b/>
          <w:color w:val="000000"/>
          <w:sz w:val="22"/>
        </w:rPr>
        <w:t>22.3  Order of Precedence</w:t>
      </w:r>
    </w:p>
    <w:p>
      <w:r>
        <w:rPr>
          <w:b w:val="0"/>
          <w:i w:val="0"/>
        </w:rPr>
        <w:t>In the event of a conflict, the order of precedence is: (a) the Award terms and applicable federal law; (b) the Master Agreement (Document 02.01); (c) this Plan (Document 02.07) on matters of transition, step-in, and successor operation; and (d) the O&amp;M/SLA (Document 02.03).</w:t>
      </w:r>
    </w:p>
    <w:p>
      <w:pPr>
        <w:pStyle w:val="Heading2"/>
        <w:spacing w:before="160" w:after="60"/>
      </w:pPr>
      <w:r>
        <w:rPr>
          <w:rFonts w:ascii="Calibri" w:hAnsi="Calibri"/>
          <w:b/>
          <w:color w:val="000000"/>
          <w:sz w:val="22"/>
        </w:rPr>
        <w:t>22.4  Survival</w:t>
      </w:r>
    </w:p>
    <w:p>
      <w:r>
        <w:rPr>
          <w:b w:val="0"/>
          <w:i w:val="0"/>
        </w:rPr>
        <w:t>Provisions relating to asset protection, Federal Interest, records retention, final reconciliation, and confidentiality survive completion of transition for the periods required by law and the Award.</w:t>
      </w:r>
    </w:p>
    <w:p>
      <w:pPr>
        <w:pStyle w:val="Heading2"/>
        <w:spacing w:before="160" w:after="60"/>
      </w:pPr>
      <w:r>
        <w:rPr>
          <w:rFonts w:ascii="Calibri" w:hAnsi="Calibri"/>
          <w:b/>
          <w:color w:val="000000"/>
          <w:sz w:val="22"/>
        </w:rPr>
        <w:t>22.5  Amendment</w:t>
      </w:r>
    </w:p>
    <w:p>
      <w:r>
        <w:rPr>
          <w:b w:val="0"/>
          <w:i w:val="0"/>
        </w:rPr>
        <w:t>This Plan may be amended only by a writing signed by both Parties, subject to any Award-required approvals.</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Confirm signatory authority, lender-protection terms, sovereign-immunity/governing-law selections, and program-income accounting before execution.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Transition, Step-In &amp; Successor Operator Plan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