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00000"/>
          <w:sz w:val="22"/>
          <w:highlight w:val="yellow"/>
        </w:rPr>
        <w:t>DRAFT FOR DISCUSSION – SUBJECT TO LEGAL, GRANT AND FINANCIAL REVIEW</w:t>
      </w:r>
    </w:p>
    <w:p/>
    <w:p/>
    <w:p/>
    <w:p>
      <w:pPr>
        <w:jc w:val="center"/>
      </w:pPr>
      <w:r>
        <w:rPr>
          <w:b/>
          <w:color w:val="595959"/>
          <w:sz w:val="24"/>
        </w:rPr>
        <w:t>EXHIBIT E</w:t>
      </w:r>
    </w:p>
    <w:p>
      <w:pPr>
        <w:jc w:val="center"/>
      </w:pPr>
      <w:r>
        <w:rPr>
          <w:b/>
          <w:color w:val="1F3864"/>
          <w:sz w:val="48"/>
        </w:rPr>
        <w:t>ACCEPTANCE TESTING STANDARDS</w:t>
      </w:r>
    </w:p>
    <w:p>
      <w:pPr>
        <w:jc w:val="center"/>
      </w:pPr>
      <w:r>
        <w:rPr>
          <w:color w:val="595959"/>
          <w:sz w:val="28"/>
        </w:rPr>
        <w:t>Optical Test Procedures, Pass/Fail Thresholds, and Documentation</w:t>
      </w:r>
    </w:p>
    <w:p/>
    <w:p/>
    <w:p>
      <w:pPr>
        <w:jc w:val="center"/>
      </w:pPr>
      <w:r>
        <w:rPr>
          <w:i/>
          <w:sz w:val="22"/>
        </w:rPr>
        <w:t>by and between</w:t>
      </w:r>
    </w:p>
    <w:p>
      <w:pPr>
        <w:jc w:val="center"/>
      </w:pPr>
      <w:r>
        <w:rPr>
          <w:b/>
          <w:i w:val="0"/>
          <w:color w:val="1F3864"/>
          <w:sz w:val="28"/>
        </w:rPr>
        <w:t>Lumbee Tribe of North Carolina</w:t>
      </w:r>
    </w:p>
    <w:p>
      <w:pPr>
        <w:jc w:val="center"/>
      </w:pPr>
      <w:r>
        <w:rPr>
          <w:b w:val="0"/>
          <w:i/>
          <w:sz w:val="22"/>
        </w:rPr>
        <w:t>and</w:t>
      </w:r>
    </w:p>
    <w:p>
      <w:pPr>
        <w:jc w:val="center"/>
      </w:pPr>
      <w:r>
        <w:rPr>
          <w:b/>
          <w:i w:val="0"/>
          <w:color w:val="1F3864"/>
          <w:sz w:val="28"/>
        </w:rPr>
        <w:t>LREMC Technologies, LLC d/b/a RIVR Tech</w:t>
      </w:r>
    </w:p>
    <w:p/>
    <w:p/>
    <w:p/>
    <w:p/>
    <w:p>
      <w:pPr>
        <w:jc w:val="center"/>
      </w:pPr>
      <w:r>
        <w:rPr>
          <w:b/>
          <w:sz w:val="20"/>
        </w:rPr>
        <w:t xml:space="preserve">Version:  </w:t>
      </w:r>
      <w:r>
        <w:rPr>
          <w:sz w:val="20"/>
        </w:rPr>
        <w:t>Draft v0.1</w:t>
      </w:r>
    </w:p>
    <w:p>
      <w:pPr>
        <w:jc w:val="center"/>
      </w:pPr>
      <w:r>
        <w:rPr>
          <w:b/>
          <w:sz w:val="20"/>
        </w:rPr>
        <w:t xml:space="preserve">Version Date:  </w:t>
      </w:r>
      <w:r>
        <w:rPr>
          <w:sz w:val="20"/>
        </w:rPr>
        <w:t>July 16, 2026</w:t>
      </w:r>
    </w:p>
    <w:p>
      <w:pPr>
        <w:jc w:val="center"/>
      </w:pPr>
      <w:r>
        <w:rPr>
          <w:b/>
          <w:sz w:val="20"/>
        </w:rPr>
        <w:t xml:space="preserve">Document Status:  </w:t>
      </w:r>
      <w:r>
        <w:rPr>
          <w:sz w:val="20"/>
        </w:rPr>
        <w:t>Working draft — not executed; not final legal advice</w:t>
      </w:r>
    </w:p>
    <w:p>
      <w:pPr>
        <w:jc w:val="center"/>
      </w:pPr>
      <w:r>
        <w:rPr>
          <w:b/>
          <w:sz w:val="20"/>
        </w:rPr>
        <w:t xml:space="preserve">Program:  </w:t>
      </w:r>
      <w:r>
        <w:rPr>
          <w:sz w:val="20"/>
        </w:rPr>
        <w:t>Tribal Broadband Connectivity Program (TBCP), National Telecommunications and Information Administration (NTIA)</w:t>
      </w:r>
    </w:p>
    <w:p/>
    <w:p/>
    <w:p>
      <w:pPr>
        <w:jc w:val="center"/>
      </w:pPr>
      <w:r>
        <w:rPr>
          <w:i/>
          <w:color w:val="595959"/>
          <w:sz w:val="18"/>
        </w:rPr>
        <w:t>CONFIDENTIAL – ATTORNEY WORK PRODUCT / SUBJECT TO COMMON-INTEREST PRIVILEGE</w:t>
      </w:r>
    </w:p>
    <w:p>
      <w:r>
        <w:br w:type="page"/>
      </w:r>
    </w:p>
    <w:p>
      <w:pPr>
        <w:jc w:val="center"/>
      </w:pPr>
      <w:r>
        <w:rPr>
          <w:b/>
          <w:color w:val="C00000"/>
          <w:highlight w:val="yellow"/>
        </w:rPr>
        <w:t>DRAFT FOR DISCUSSION – SUBJECT TO LEGAL, GRANT AND FINANCIAL REVIEW</w:t>
      </w:r>
    </w:p>
    <w:p/>
    <w:p>
      <w:pPr>
        <w:pStyle w:val="Heading1"/>
        <w:spacing w:before="240" w:after="120"/>
      </w:pPr>
      <w:r>
        <w:rPr>
          <w:rFonts w:ascii="Calibri" w:hAnsi="Calibri"/>
          <w:b/>
          <w:color w:val="1F3864"/>
          <w:sz w:val="26"/>
        </w:rPr>
        <w:t>ARTICLE 1.  SCOPE AND GENERAL REQUIREMENTS</w:t>
      </w:r>
    </w:p>
    <w:p>
      <w:pPr>
        <w:pStyle w:val="Heading2"/>
        <w:spacing w:before="160" w:after="60"/>
      </w:pPr>
      <w:r>
        <w:rPr>
          <w:rFonts w:ascii="Calibri" w:hAnsi="Calibri"/>
          <w:b/>
          <w:color w:val="000000"/>
          <w:sz w:val="22"/>
        </w:rPr>
        <w:t>1.1  Scope</w:t>
      </w:r>
    </w:p>
    <w:p>
      <w:r>
        <w:rPr>
          <w:b w:val="0"/>
          <w:i w:val="0"/>
        </w:rPr>
        <w:t>This Exhibit sets the optical acceptance-testing standards that each route, segment, and span of the Network — and in particular each grant-funded Tribal Asset — must satisfy before it is accepted and placed in service. Acceptance is documented on the Network Acceptance Certificate in Exhibit G.</w:t>
      </w:r>
    </w:p>
    <w:p>
      <w:pPr>
        <w:pStyle w:val="Heading2"/>
        <w:spacing w:before="160" w:after="60"/>
      </w:pPr>
      <w:r>
        <w:rPr>
          <w:rFonts w:ascii="Calibri" w:hAnsi="Calibri"/>
          <w:b/>
          <w:color w:val="000000"/>
          <w:sz w:val="22"/>
        </w:rPr>
        <w:t>1.2  Test Wavelengths and Method</w:t>
      </w:r>
    </w:p>
    <w:p>
      <w:r>
        <w:rPr>
          <w:b w:val="0"/>
          <w:i w:val="0"/>
        </w:rPr>
        <w:t>All fiber shall be tested using bi-directional OTDR at 1310 nm and 1550 nm. Testing shall be performed in both directions on each fiber and the results averaged (bi-directional averaging) to establish the certified splice and span loss.</w:t>
      </w:r>
    </w:p>
    <w:p>
      <w:pPr>
        <w:pStyle w:val="Heading2"/>
        <w:spacing w:before="160" w:after="60"/>
      </w:pPr>
      <w:r>
        <w:rPr>
          <w:rFonts w:ascii="Calibri" w:hAnsi="Calibri"/>
          <w:b/>
          <w:color w:val="000000"/>
          <w:sz w:val="22"/>
        </w:rPr>
        <w:t>1.3  Instruments and Calibration</w:t>
      </w:r>
    </w:p>
    <w:p>
      <w:r>
        <w:rPr>
          <w:b w:val="0"/>
          <w:i w:val="0"/>
        </w:rPr>
        <w:t xml:space="preserve">OTDR, optical power meter, and light source shall be within current calibration. Calibration certificates: </w:t>
      </w:r>
      <w:r>
        <w:rPr>
          <w:b w:val="0"/>
          <w:i w:val="0"/>
          <w:color w:val="804000"/>
          <w:highlight w:val="yellow"/>
        </w:rPr>
        <w:t>[■ instrument make/model, serial, and calibration dates]</w:t>
      </w:r>
      <w:r>
        <w:rPr>
          <w:b w:val="0"/>
          <w:i w:val="0"/>
        </w:rPr>
        <w:t>.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1F3864"/>
          <w:sz w:val="26"/>
        </w:rPr>
        <w:t>ARTICLE 2.  TEST PARAMETERS AND PASS/FAIL THRESHOLDS</w:t>
      </w:r>
    </w:p>
    <w:p>
      <w:r>
        <w:rPr>
          <w:b w:val="0"/>
          <w:i w:val="0"/>
        </w:rPr>
        <w:t>Each fiber and span shall meet or exceed the following thresholds: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736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/ Parameter</w:t>
            </w:r>
          </w:p>
        </w:tc>
        <w:tc>
          <w:tcPr>
            <w:tcW w:type="dxa" w:w="1584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Wavelength(s)</w:t>
            </w:r>
          </w:p>
        </w:tc>
        <w:tc>
          <w:tcPr>
            <w:tcW w:type="dxa" w:w="2448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592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 / Fail threshold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b w:val="0"/>
                <w:i w:val="0"/>
                <w:sz w:val="18"/>
              </w:rPr>
              <w:t>Fusion splice loss</w:t>
            </w:r>
          </w:p>
        </w:tc>
        <w:tc>
          <w:tcPr>
            <w:tcW w:type="dxa" w:w="1584"/>
            <w:vAlign w:val="center"/>
          </w:tcPr>
          <w:p>
            <w:r>
              <w:rPr>
                <w:b w:val="0"/>
                <w:i w:val="0"/>
                <w:sz w:val="18"/>
              </w:rPr>
              <w:t>1310 nm and 1550 nm</w:t>
            </w:r>
          </w:p>
        </w:tc>
        <w:tc>
          <w:tcPr>
            <w:tcW w:type="dxa" w:w="2448"/>
            <w:vAlign w:val="center"/>
          </w:tcPr>
          <w:p>
            <w:r>
              <w:rPr>
                <w:b w:val="0"/>
                <w:i w:val="0"/>
                <w:sz w:val="18"/>
              </w:rPr>
              <w:t>bi-directional OTDR (bi-dir avg)</w:t>
            </w:r>
          </w:p>
        </w:tc>
        <w:tc>
          <w:tcPr>
            <w:tcW w:type="dxa" w:w="2592"/>
            <w:vAlign w:val="center"/>
          </w:tcPr>
          <w:p>
            <w:r>
              <w:rPr>
                <w:b w:val="0"/>
                <w:i w:val="0"/>
                <w:sz w:val="18"/>
              </w:rPr>
              <w:t>0.10 dB (average) / 0.30 dB (maximum) per fusion splice</w:t>
            </w:r>
          </w:p>
        </w:tc>
      </w:tr>
      <w:tr>
        <w:tc>
          <w:tcPr>
            <w:tcW w:type="dxa" w:w="2736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18"/>
              </w:rPr>
              <w:t>Mated connector loss</w:t>
            </w:r>
          </w:p>
        </w:tc>
        <w:tc>
          <w:tcPr>
            <w:tcW w:type="dxa" w:w="1584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18"/>
              </w:rPr>
              <w:t>1310 nm and 1550 nm</w:t>
            </w:r>
          </w:p>
        </w:tc>
        <w:tc>
          <w:tcPr>
            <w:tcW w:type="dxa" w:w="2448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18"/>
              </w:rPr>
              <w:t>OTDR / insertion loss</w:t>
            </w:r>
          </w:p>
        </w:tc>
        <w:tc>
          <w:tcPr>
            <w:tcW w:type="dxa" w:w="2592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18"/>
              </w:rPr>
              <w:t>0.50 dB per mated connector pair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b w:val="0"/>
                <w:i w:val="0"/>
                <w:sz w:val="18"/>
              </w:rPr>
              <w:t>Connector reflectance</w:t>
            </w:r>
          </w:p>
        </w:tc>
        <w:tc>
          <w:tcPr>
            <w:tcW w:type="dxa" w:w="1584"/>
            <w:vAlign w:val="center"/>
          </w:tcPr>
          <w:p>
            <w:r>
              <w:rPr>
                <w:b w:val="0"/>
                <w:i w:val="0"/>
                <w:sz w:val="18"/>
              </w:rPr>
              <w:t>1310 nm and 1550 nm</w:t>
            </w:r>
          </w:p>
        </w:tc>
        <w:tc>
          <w:tcPr>
            <w:tcW w:type="dxa" w:w="2448"/>
            <w:vAlign w:val="center"/>
          </w:tcPr>
          <w:p>
            <w:r>
              <w:rPr>
                <w:b w:val="0"/>
                <w:i w:val="0"/>
                <w:sz w:val="18"/>
              </w:rPr>
              <w:t>OTDR</w:t>
            </w:r>
          </w:p>
        </w:tc>
        <w:tc>
          <w:tcPr>
            <w:tcW w:type="dxa" w:w="2592"/>
            <w:vAlign w:val="center"/>
          </w:tcPr>
          <w:p>
            <w:r>
              <w:rPr>
                <w:b w:val="0"/>
                <w:i w:val="0"/>
                <w:sz w:val="18"/>
              </w:rPr>
              <w:t>-40 dB (UPC) / -55 dB (APC)</w:t>
            </w:r>
          </w:p>
        </w:tc>
      </w:tr>
      <w:tr>
        <w:tc>
          <w:tcPr>
            <w:tcW w:type="dxa" w:w="2736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18"/>
              </w:rPr>
              <w:t>Span / link loss (end-to-end)</w:t>
            </w:r>
          </w:p>
        </w:tc>
        <w:tc>
          <w:tcPr>
            <w:tcW w:type="dxa" w:w="1584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18"/>
              </w:rPr>
              <w:t>1310 nm and 1550 nm</w:t>
            </w:r>
          </w:p>
        </w:tc>
        <w:tc>
          <w:tcPr>
            <w:tcW w:type="dxa" w:w="2448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18"/>
              </w:rPr>
              <w:t>Power meter (LSPM) + OTDR</w:t>
            </w:r>
          </w:p>
        </w:tc>
        <w:tc>
          <w:tcPr>
            <w:tcW w:type="dxa" w:w="2592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18"/>
              </w:rPr>
              <w:t>consistent with the span-loss budget calculated at 0.35 dB/km at 1310 nm and 0.25 dB/km at 1550 nm, plus splice and connector losses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b w:val="0"/>
                <w:i w:val="0"/>
                <w:sz w:val="18"/>
              </w:rPr>
              <w:t>Continuity / polarity</w:t>
            </w:r>
          </w:p>
        </w:tc>
        <w:tc>
          <w:tcPr>
            <w:tcW w:type="dxa" w:w="1584"/>
            <w:vAlign w:val="center"/>
          </w:tcPr>
          <w:p>
            <w:r>
              <w:rPr>
                <w:b w:val="0"/>
                <w:i w:val="0"/>
                <w:sz w:val="18"/>
              </w:rPr>
              <w:t>1310 nm and 1550 nm</w:t>
            </w:r>
          </w:p>
        </w:tc>
        <w:tc>
          <w:tcPr>
            <w:tcW w:type="dxa" w:w="2448"/>
            <w:vAlign w:val="center"/>
          </w:tcPr>
          <w:p>
            <w:r>
              <w:rPr>
                <w:b w:val="0"/>
                <w:i w:val="0"/>
                <w:sz w:val="18"/>
              </w:rPr>
              <w:t>Visual / power meter</w:t>
            </w:r>
          </w:p>
        </w:tc>
        <w:tc>
          <w:tcPr>
            <w:tcW w:type="dxa" w:w="2592"/>
            <w:vAlign w:val="center"/>
          </w:tcPr>
          <w:p>
            <w:r>
              <w:rPr>
                <w:b w:val="0"/>
                <w:i w:val="0"/>
                <w:sz w:val="18"/>
              </w:rPr>
              <w:t>100% continuity; correct polarity; no high-loss events</w:t>
            </w:r>
          </w:p>
        </w:tc>
      </w:tr>
      <w:tr>
        <w:tc>
          <w:tcPr>
            <w:tcW w:type="dxa" w:w="2736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18"/>
              </w:rPr>
              <w:t>Length / distance</w:t>
            </w:r>
          </w:p>
        </w:tc>
        <w:tc>
          <w:tcPr>
            <w:tcW w:type="dxa" w:w="1584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18"/>
              </w:rPr>
              <w:t>1550 nm</w:t>
            </w:r>
          </w:p>
        </w:tc>
        <w:tc>
          <w:tcPr>
            <w:tcW w:type="dxa" w:w="2448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18"/>
              </w:rPr>
              <w:t>OTDR</w:t>
            </w:r>
          </w:p>
        </w:tc>
        <w:tc>
          <w:tcPr>
            <w:tcW w:type="dxa" w:w="2592"/>
            <w:shd w:val="clear" w:color="auto" w:fill="F2F2F2"/>
            <w:vAlign w:val="center"/>
          </w:tcPr>
          <w:p>
            <w:r>
              <w:rPr>
                <w:b w:val="0"/>
                <w:i w:val="0"/>
                <w:color w:val="804000"/>
                <w:sz w:val="18"/>
                <w:highlight w:val="yellow"/>
              </w:rPr>
              <w:t>[■ design length ± tolerance]</w:t>
            </w:r>
          </w:p>
        </w:tc>
      </w:tr>
    </w:tbl>
    <w:p>
      <w:pPr>
        <w:ind w:left="504"/>
      </w:pPr>
      <w:r>
        <w:rPr>
          <w:b/>
          <w:color w:val="007000"/>
        </w:rPr>
        <w:t xml:space="preserve">[TECHNICAL INFORMATION REQUIRED]  </w:t>
      </w:r>
      <w:r>
        <w:rPr>
          <w:i/>
          <w:color w:val="595959"/>
        </w:rPr>
        <w:t>Design span-loss budget per route to be computed from as-built lengths, splice count, and connector count and attached to the test record.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1F3864"/>
          <w:sz w:val="26"/>
        </w:rPr>
        <w:t>ARTICLE 3.  SPAN-LOSS BUDGET</w:t>
      </w:r>
    </w:p>
    <w:p>
      <w:pPr>
        <w:pStyle w:val="Heading2"/>
        <w:spacing w:before="160" w:after="60"/>
      </w:pPr>
      <w:r>
        <w:rPr>
          <w:rFonts w:ascii="Calibri" w:hAnsi="Calibri"/>
          <w:b/>
          <w:color w:val="000000"/>
          <w:sz w:val="22"/>
        </w:rPr>
        <w:t>3.1  Calculation</w:t>
      </w:r>
    </w:p>
    <w:p>
      <w:r>
        <w:rPr>
          <w:b w:val="0"/>
          <w:i w:val="0"/>
        </w:rPr>
        <w:t xml:space="preserve">The maximum allowable span loss shall be calculated as the sum of fiber attenuation (consistent with the span-loss budget calculated at 0.35 dB/km at 1310 nm and 0.25 dB/km at 1550 nm, plus splice and connector losses), plus the number of splices times the splice-loss allowance, plus the number of mated connector pairs times the connector-loss allowance, plus a design safety margin of </w:t>
      </w:r>
      <w:r>
        <w:rPr>
          <w:b w:val="0"/>
          <w:i w:val="0"/>
          <w:color w:val="804000"/>
          <w:highlight w:val="yellow"/>
        </w:rPr>
        <w:t>[■ design margin in dB]</w:t>
      </w:r>
      <w:r>
        <w:rPr>
          <w:b w:val="0"/>
          <w:i w:val="0"/>
        </w:rPr>
        <w:t>. Measured span loss shall not exceed the calculated budget.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1F3864"/>
          <w:sz w:val="26"/>
        </w:rPr>
        <w:t>ARTICLE 4.  POWER-METER TESTING</w:t>
      </w:r>
    </w:p>
    <w:p>
      <w:pPr>
        <w:pStyle w:val="Heading2"/>
        <w:spacing w:before="160" w:after="60"/>
      </w:pPr>
      <w:r>
        <w:rPr>
          <w:rFonts w:ascii="Calibri" w:hAnsi="Calibri"/>
          <w:b/>
          <w:color w:val="000000"/>
          <w:sz w:val="22"/>
        </w:rPr>
        <w:t>4.1  Insertion-Loss Test</w:t>
      </w:r>
    </w:p>
    <w:p>
      <w:r>
        <w:rPr>
          <w:b w:val="0"/>
          <w:i w:val="0"/>
        </w:rPr>
        <w:t>End-to-end insertion loss shall be measured with a stabilized light source and optical power meter (LSPM) at 1310 nm and 1550 nm, referenced per a one-jumper (or equivalent) reference method, and shall fall within the calculated span-loss budget.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1F3864"/>
          <w:sz w:val="26"/>
        </w:rPr>
        <w:t>ARTICLE 5.  TEST DOCUMENTATION</w:t>
      </w:r>
    </w:p>
    <w:p>
      <w:pPr>
        <w:pStyle w:val="Heading2"/>
        <w:spacing w:before="160" w:after="60"/>
      </w:pPr>
      <w:r>
        <w:rPr>
          <w:rFonts w:ascii="Calibri" w:hAnsi="Calibri"/>
          <w:b/>
          <w:color w:val="000000"/>
          <w:sz w:val="22"/>
        </w:rPr>
        <w:t>5.1  Required Deliverables</w:t>
      </w:r>
    </w:p>
    <w:p>
      <w:r>
        <w:rPr>
          <w:b w:val="0"/>
          <w:i w:val="0"/>
        </w:rPr>
        <w:t>The following test records shall be delivered for each accepted segment:</w:t>
      </w:r>
    </w:p>
    <w:p>
      <w:pPr>
        <w:pStyle w:val="ListBullet"/>
      </w:pPr>
      <w:r>
        <w:rPr>
          <w:b w:val="0"/>
          <w:i w:val="0"/>
        </w:rPr>
        <w:t>OTDR traces (bi-directional) for every fiber, at both wavelengths, in native and PDF format</w:t>
      </w:r>
    </w:p>
    <w:p>
      <w:pPr>
        <w:pStyle w:val="ListBullet"/>
      </w:pPr>
      <w:r>
        <w:rPr>
          <w:b w:val="0"/>
          <w:i w:val="0"/>
        </w:rPr>
        <w:t>Splice-loss and connector-loss tables keyed to the splice diagram</w:t>
      </w:r>
    </w:p>
    <w:p>
      <w:pPr>
        <w:pStyle w:val="ListBullet"/>
      </w:pPr>
      <w:r>
        <w:rPr>
          <w:b w:val="0"/>
          <w:i w:val="0"/>
        </w:rPr>
        <w:t>End-to-end insertion-loss (power-meter) results at both wavelengths</w:t>
      </w:r>
    </w:p>
    <w:p>
      <w:pPr>
        <w:pStyle w:val="ListBullet"/>
      </w:pPr>
      <w:r>
        <w:rPr>
          <w:b w:val="0"/>
          <w:i w:val="0"/>
        </w:rPr>
        <w:t>Calculated span-loss budget vs. measured loss, with pass/fail per span</w:t>
      </w:r>
    </w:p>
    <w:p>
      <w:pPr>
        <w:pStyle w:val="ListBullet"/>
      </w:pPr>
      <w:r>
        <w:rPr>
          <w:b w:val="0"/>
          <w:i w:val="0"/>
        </w:rPr>
        <w:t>Instrument calibration certificates</w:t>
      </w:r>
    </w:p>
    <w:p>
      <w:pPr>
        <w:pStyle w:val="ListBullet"/>
      </w:pPr>
      <w:r>
        <w:rPr>
          <w:b w:val="0"/>
          <w:i w:val="0"/>
        </w:rPr>
        <w:t>Fiber assignment / strand mapping keyed to Exhibit C</w:t>
      </w:r>
    </w:p>
    <w:p>
      <w:pPr>
        <w:pStyle w:val="Heading2"/>
        <w:spacing w:before="160" w:after="60"/>
      </w:pPr>
      <w:r>
        <w:rPr>
          <w:rFonts w:ascii="Calibri" w:hAnsi="Calibri"/>
          <w:b/>
          <w:color w:val="000000"/>
          <w:sz w:val="22"/>
        </w:rPr>
        <w:t>5.2  As-Built and GIS Delivery</w:t>
      </w:r>
    </w:p>
    <w:p>
      <w:r>
        <w:rPr>
          <w:b w:val="0"/>
          <w:i w:val="0"/>
        </w:rPr>
        <w:t xml:space="preserve">As-built drawings and GIS data shall be delivered as a condition of acceptance, including route geometry, splice locations, structure inventory, and strand assignments in the coordinate system identified in Exhibit A. GIS deliverable format: </w:t>
      </w:r>
      <w:r>
        <w:rPr>
          <w:b w:val="0"/>
          <w:i w:val="0"/>
          <w:color w:val="804000"/>
          <w:highlight w:val="yellow"/>
        </w:rPr>
        <w:t>[■ e.g., Esri File Geodatabase / GeoPackage / shapefile + metadata]</w:t>
      </w:r>
      <w:r>
        <w:rPr>
          <w:b w:val="0"/>
          <w:i w:val="0"/>
        </w:rPr>
        <w:t>.</w:t>
      </w:r>
    </w:p>
    <w:p>
      <w:pPr>
        <w:ind w:left="504"/>
      </w:pPr>
      <w:r>
        <w:rPr>
          <w:b/>
          <w:color w:val="7F007F"/>
        </w:rPr>
        <w:t xml:space="preserve">[GRANT COMPLIANCE REVIEW REQUIRED]  </w:t>
      </w:r>
      <w:r>
        <w:rPr>
          <w:i/>
          <w:color w:val="595959"/>
        </w:rPr>
        <w:t>As-built and GIS deliverables support the equipment/property records required by 2 CFR 200.313 (Equipment — use, management, and disposition) and the asset inventory in Exhibit K.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1F3864"/>
          <w:sz w:val="26"/>
        </w:rPr>
        <w:t>ARTICLE 6.  PUNCH LIST, RETESTING, AND ACCEPTANCE</w:t>
      </w:r>
    </w:p>
    <w:p>
      <w:pPr>
        <w:pStyle w:val="Heading2"/>
        <w:spacing w:before="160" w:after="60"/>
      </w:pPr>
      <w:r>
        <w:rPr>
          <w:rFonts w:ascii="Calibri" w:hAnsi="Calibri"/>
          <w:b/>
          <w:color w:val="000000"/>
          <w:sz w:val="22"/>
        </w:rPr>
        <w:t>6.1  Punch-List Process</w:t>
      </w:r>
    </w:p>
    <w:p>
      <w:r>
        <w:rPr>
          <w:b w:val="0"/>
          <w:i w:val="0"/>
        </w:rPr>
        <w:t>Any span, splice, or connector failing a threshold shall be recorded on a punch list identifying the deficiency, location, and corrective action. RIVR Tech shall remediate and retest the affected element.</w:t>
      </w:r>
    </w:p>
    <w:p>
      <w:pPr>
        <w:pStyle w:val="Heading2"/>
        <w:spacing w:before="160" w:after="60"/>
      </w:pPr>
      <w:r>
        <w:rPr>
          <w:rFonts w:ascii="Calibri" w:hAnsi="Calibri"/>
          <w:b/>
          <w:color w:val="000000"/>
          <w:sz w:val="22"/>
        </w:rPr>
        <w:t>6.2  Retesting</w:t>
      </w:r>
    </w:p>
    <w:p>
      <w:r>
        <w:rPr>
          <w:b w:val="0"/>
          <w:i w:val="0"/>
        </w:rPr>
        <w:t>Remediated elements shall be retested using the same method and thresholds. A segment is not accepted until all punch-list items are cleared and the retest passes.</w:t>
      </w:r>
    </w:p>
    <w:p>
      <w:pPr>
        <w:pStyle w:val="Heading2"/>
        <w:spacing w:before="160" w:after="60"/>
      </w:pPr>
      <w:r>
        <w:rPr>
          <w:rFonts w:ascii="Calibri" w:hAnsi="Calibri"/>
          <w:b/>
          <w:color w:val="000000"/>
          <w:sz w:val="22"/>
        </w:rPr>
        <w:t>6.3  Acceptance Certificate</w:t>
      </w:r>
    </w:p>
    <w:p>
      <w:r>
        <w:rPr>
          <w:b w:val="0"/>
          <w:i w:val="0"/>
        </w:rPr>
        <w:t>Upon clearance of the punch list and delivery of the required test documentation, as-built drawings, and GIS data, the segment is accepted by execution of the Network Acceptance Certificate (Exhibit G), which establishes the date placed in service.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enter"/>
        <w:tab w:pos="9360" w:val="right"/>
      </w:tabs>
    </w:pPr>
    <w:r>
      <w:rPr>
        <w:color w:val="595959"/>
        <w:sz w:val="16"/>
      </w:rPr>
    </w:r>
    <w:r>
      <w:rPr>
        <w:color w:val="595959"/>
        <w:sz w:val="16"/>
      </w:rPr>
      <w:t>Draft v0.1 | July 16, 2026</w:t>
    </w:r>
    <w:r>
      <w:rPr>
        <w:color w:val="595959"/>
        <w:sz w:val="16"/>
      </w:rPr>
      <w:tab/>
    </w:r>
    <w:r>
      <w:rPr>
        <w:color w:val="595959"/>
        <w:sz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</w:rPr>
      <w:t xml:space="preserve"> of </w:t>
    </w:r>
    <w:r>
      <w:rPr>
        <w:color w:val="595959"/>
        <w:sz w:val="16"/>
      </w:rPr>
      <w:fldChar w:fldCharType="begin"/>
      <w:instrText xml:space="preserve">NUMPAGES</w:instrText>
      <w:fldChar w:fldCharType="separate"/>
      <w:fldChar w:fldCharType="end"/>
    </w:r>
    <w:r>
      <w:tab/>
    </w:r>
    <w:r>
      <w:rPr>
        <w:color w:val="595959"/>
        <w:sz w:val="16"/>
      </w:rPr>
      <w:t>Confidential — Draft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i/>
        <w:color w:val="595959"/>
        <w:sz w:val="16"/>
      </w:rPr>
      <w:t>Exhibit E  —  DRAFT FOR DISCUSSION – SUBJECT TO LEGAL, GRANT AND FINANCIAL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