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EXHIBIT I</w:t>
      </w:r>
    </w:p>
    <w:p>
      <w:pPr>
        <w:jc w:val="center"/>
      </w:pPr>
      <w:r>
        <w:rPr>
          <w:b/>
          <w:color w:val="1F3864"/>
          <w:sz w:val="48"/>
        </w:rPr>
        <w:t>INSURANCE REQUIREMENTS</w:t>
      </w:r>
    </w:p>
    <w:p>
      <w:pPr>
        <w:jc w:val="center"/>
      </w:pPr>
      <w:r>
        <w:rPr>
          <w:color w:val="595959"/>
          <w:sz w:val="28"/>
        </w:rPr>
        <w:t>Minimum Coverages, Limits, and Endorsements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pPr>
        <w:pStyle w:val="Heading1"/>
        <w:spacing w:before="240" w:after="120"/>
      </w:pPr>
      <w:r>
        <w:rPr>
          <w:rFonts w:ascii="Calibri" w:hAnsi="Calibri"/>
          <w:b/>
          <w:color w:val="1F3864"/>
          <w:sz w:val="26"/>
        </w:rPr>
        <w:t>ARTICLE 1.  REQUIRED COVERAGES AND MINIMUM LIMITS</w:t>
      </w:r>
    </w:p>
    <w:p>
      <w:r>
        <w:rPr>
          <w:b w:val="0"/>
          <w:i w:val="0"/>
        </w:rPr>
        <w:t>RIVR Tech shall maintain, at its expense, at least the following coverages throughout the term and shall cause its contractors to carry appropriate coverage. Consistent with 2 CFR 200.310 (Insurance coverage), the Tribal Assets shall be insured to protect the Federal Interest.</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vAlign w:val="center"/>
          </w:tcPr>
          <w:p>
            <w:pPr>
              <w:jc w:val="center"/>
            </w:pPr>
            <w:r>
              <w:rPr>
                <w:b/>
                <w:color w:val="FFFFFF"/>
                <w:sz w:val="18"/>
              </w:rPr>
              <w:t>Coverage</w:t>
            </w:r>
          </w:p>
        </w:tc>
        <w:tc>
          <w:tcPr>
            <w:tcW w:type="dxa" w:w="2880"/>
            <w:shd w:val="clear" w:color="auto" w:fill="1F3864"/>
            <w:vAlign w:val="center"/>
          </w:tcPr>
          <w:p>
            <w:pPr>
              <w:jc w:val="center"/>
            </w:pPr>
            <w:r>
              <w:rPr>
                <w:b/>
                <w:color w:val="FFFFFF"/>
                <w:sz w:val="18"/>
              </w:rPr>
              <w:t>Minimum Limit</w:t>
            </w:r>
          </w:p>
        </w:tc>
        <w:tc>
          <w:tcPr>
            <w:tcW w:type="dxa" w:w="3168"/>
            <w:shd w:val="clear" w:color="auto" w:fill="1F3864"/>
            <w:vAlign w:val="center"/>
          </w:tcPr>
          <w:p>
            <w:pPr>
              <w:jc w:val="center"/>
            </w:pPr>
            <w:r>
              <w:rPr>
                <w:b/>
                <w:color w:val="FFFFFF"/>
                <w:sz w:val="18"/>
              </w:rPr>
              <w:t>Notes</w:t>
            </w:r>
          </w:p>
        </w:tc>
      </w:tr>
      <w:tr>
        <w:tc>
          <w:tcPr>
            <w:tcW w:type="dxa" w:w="3024"/>
            <w:vAlign w:val="center"/>
          </w:tcPr>
          <w:p>
            <w:r>
              <w:rPr>
                <w:b w:val="0"/>
                <w:i w:val="0"/>
                <w:sz w:val="18"/>
              </w:rPr>
              <w:t>Commercial General Liability (CGL)</w:t>
            </w:r>
          </w:p>
        </w:tc>
        <w:tc>
          <w:tcPr>
            <w:tcW w:type="dxa" w:w="2880"/>
            <w:vAlign w:val="center"/>
          </w:tcPr>
          <w:p>
            <w:r>
              <w:rPr>
                <w:b w:val="0"/>
                <w:i w:val="0"/>
                <w:sz w:val="18"/>
              </w:rPr>
              <w:t>$2,000,000 per occurrence / $4,000,000 aggregate</w:t>
            </w:r>
          </w:p>
        </w:tc>
        <w:tc>
          <w:tcPr>
            <w:tcW w:type="dxa" w:w="3168"/>
            <w:vAlign w:val="center"/>
          </w:tcPr>
          <w:p>
            <w:r>
              <w:rPr>
                <w:b w:val="0"/>
                <w:i w:val="0"/>
                <w:sz w:val="18"/>
              </w:rPr>
              <w:t>Bodily injury, property damage, products/completed operations</w:t>
            </w:r>
          </w:p>
        </w:tc>
      </w:tr>
      <w:tr>
        <w:tc>
          <w:tcPr>
            <w:tcW w:type="dxa" w:w="3024"/>
            <w:shd w:val="clear" w:color="auto" w:fill="F2F2F2"/>
            <w:vAlign w:val="center"/>
          </w:tcPr>
          <w:p>
            <w:r>
              <w:rPr>
                <w:b w:val="0"/>
                <w:i w:val="0"/>
                <w:sz w:val="18"/>
              </w:rPr>
              <w:t>Automobile Liability</w:t>
            </w:r>
          </w:p>
        </w:tc>
        <w:tc>
          <w:tcPr>
            <w:tcW w:type="dxa" w:w="2880"/>
            <w:shd w:val="clear" w:color="auto" w:fill="F2F2F2"/>
            <w:vAlign w:val="center"/>
          </w:tcPr>
          <w:p>
            <w:r>
              <w:rPr>
                <w:b w:val="0"/>
                <w:i w:val="0"/>
                <w:sz w:val="18"/>
              </w:rPr>
              <w:t>$1,000,000 combined single limit</w:t>
            </w:r>
          </w:p>
        </w:tc>
        <w:tc>
          <w:tcPr>
            <w:tcW w:type="dxa" w:w="3168"/>
            <w:shd w:val="clear" w:color="auto" w:fill="F2F2F2"/>
            <w:vAlign w:val="center"/>
          </w:tcPr>
          <w:p>
            <w:r>
              <w:rPr>
                <w:b w:val="0"/>
                <w:i w:val="0"/>
                <w:sz w:val="18"/>
              </w:rPr>
              <w:t>Owned, hired, and non-owned autos</w:t>
            </w:r>
          </w:p>
        </w:tc>
      </w:tr>
      <w:tr>
        <w:tc>
          <w:tcPr>
            <w:tcW w:type="dxa" w:w="3024"/>
            <w:vAlign w:val="center"/>
          </w:tcPr>
          <w:p>
            <w:r>
              <w:rPr>
                <w:b w:val="0"/>
                <w:i w:val="0"/>
                <w:sz w:val="18"/>
              </w:rPr>
              <w:t>Umbrella / Excess Liability</w:t>
            </w:r>
          </w:p>
        </w:tc>
        <w:tc>
          <w:tcPr>
            <w:tcW w:type="dxa" w:w="2880"/>
            <w:vAlign w:val="center"/>
          </w:tcPr>
          <w:p>
            <w:r>
              <w:rPr>
                <w:b w:val="0"/>
                <w:i w:val="0"/>
                <w:sz w:val="18"/>
              </w:rPr>
              <w:t>$10,000,000</w:t>
            </w:r>
          </w:p>
        </w:tc>
        <w:tc>
          <w:tcPr>
            <w:tcW w:type="dxa" w:w="3168"/>
            <w:vAlign w:val="center"/>
          </w:tcPr>
          <w:p>
            <w:r>
              <w:rPr>
                <w:b w:val="0"/>
                <w:i w:val="0"/>
                <w:sz w:val="18"/>
              </w:rPr>
              <w:t>Excess of CGL, auto, and employers' liability</w:t>
            </w:r>
          </w:p>
        </w:tc>
      </w:tr>
      <w:tr>
        <w:tc>
          <w:tcPr>
            <w:tcW w:type="dxa" w:w="3024"/>
            <w:shd w:val="clear" w:color="auto" w:fill="F2F2F2"/>
            <w:vAlign w:val="center"/>
          </w:tcPr>
          <w:p>
            <w:r>
              <w:rPr>
                <w:b w:val="0"/>
                <w:i w:val="0"/>
                <w:sz w:val="18"/>
              </w:rPr>
              <w:t>Workers' Compensation</w:t>
            </w:r>
          </w:p>
        </w:tc>
        <w:tc>
          <w:tcPr>
            <w:tcW w:type="dxa" w:w="2880"/>
            <w:shd w:val="clear" w:color="auto" w:fill="F2F2F2"/>
            <w:vAlign w:val="center"/>
          </w:tcPr>
          <w:p>
            <w:r>
              <w:rPr>
                <w:b w:val="0"/>
                <w:i w:val="0"/>
                <w:sz w:val="18"/>
              </w:rPr>
              <w:t>statutory limits</w:t>
            </w:r>
          </w:p>
        </w:tc>
        <w:tc>
          <w:tcPr>
            <w:tcW w:type="dxa" w:w="3168"/>
            <w:shd w:val="clear" w:color="auto" w:fill="F2F2F2"/>
            <w:vAlign w:val="center"/>
          </w:tcPr>
          <w:p>
            <w:r>
              <w:rPr>
                <w:b w:val="0"/>
                <w:i w:val="0"/>
                <w:sz w:val="18"/>
              </w:rPr>
              <w:t>As required by North Carolina law</w:t>
            </w:r>
          </w:p>
        </w:tc>
      </w:tr>
      <w:tr>
        <w:tc>
          <w:tcPr>
            <w:tcW w:type="dxa" w:w="3024"/>
            <w:vAlign w:val="center"/>
          </w:tcPr>
          <w:p>
            <w:r>
              <w:rPr>
                <w:b w:val="0"/>
                <w:i w:val="0"/>
                <w:sz w:val="18"/>
              </w:rPr>
              <w:t>Employers' Liability</w:t>
            </w:r>
          </w:p>
        </w:tc>
        <w:tc>
          <w:tcPr>
            <w:tcW w:type="dxa" w:w="2880"/>
            <w:vAlign w:val="center"/>
          </w:tcPr>
          <w:p>
            <w:r>
              <w:rPr>
                <w:b w:val="0"/>
                <w:i w:val="0"/>
                <w:sz w:val="18"/>
              </w:rPr>
              <w:t>$1,000,000</w:t>
            </w:r>
          </w:p>
        </w:tc>
        <w:tc>
          <w:tcPr>
            <w:tcW w:type="dxa" w:w="3168"/>
            <w:vAlign w:val="center"/>
          </w:tcPr>
          <w:p>
            <w:r>
              <w:rPr>
                <w:b w:val="0"/>
                <w:i w:val="0"/>
                <w:sz w:val="18"/>
              </w:rPr>
              <w:t>Each accident / disease</w:t>
            </w:r>
          </w:p>
        </w:tc>
      </w:tr>
      <w:tr>
        <w:tc>
          <w:tcPr>
            <w:tcW w:type="dxa" w:w="3024"/>
            <w:shd w:val="clear" w:color="auto" w:fill="F2F2F2"/>
            <w:vAlign w:val="center"/>
          </w:tcPr>
          <w:p>
            <w:r>
              <w:rPr>
                <w:b w:val="0"/>
                <w:i w:val="0"/>
                <w:sz w:val="18"/>
              </w:rPr>
              <w:t>Professional / Technology E&amp;O</w:t>
            </w:r>
          </w:p>
        </w:tc>
        <w:tc>
          <w:tcPr>
            <w:tcW w:type="dxa" w:w="2880"/>
            <w:shd w:val="clear" w:color="auto" w:fill="F2F2F2"/>
            <w:vAlign w:val="center"/>
          </w:tcPr>
          <w:p>
            <w:r>
              <w:rPr>
                <w:b w:val="0"/>
                <w:i w:val="0"/>
                <w:sz w:val="18"/>
              </w:rPr>
              <w:t>$5,000,000</w:t>
            </w:r>
          </w:p>
        </w:tc>
        <w:tc>
          <w:tcPr>
            <w:tcW w:type="dxa" w:w="3168"/>
            <w:shd w:val="clear" w:color="auto" w:fill="F2F2F2"/>
            <w:vAlign w:val="center"/>
          </w:tcPr>
          <w:p>
            <w:r>
              <w:rPr>
                <w:b w:val="0"/>
                <w:i w:val="0"/>
                <w:sz w:val="18"/>
              </w:rPr>
              <w:t>Errors &amp; omissions in design/engineering/operations</w:t>
            </w:r>
          </w:p>
        </w:tc>
      </w:tr>
      <w:tr>
        <w:tc>
          <w:tcPr>
            <w:tcW w:type="dxa" w:w="3024"/>
            <w:vAlign w:val="center"/>
          </w:tcPr>
          <w:p>
            <w:r>
              <w:rPr>
                <w:b w:val="0"/>
                <w:i w:val="0"/>
                <w:sz w:val="18"/>
              </w:rPr>
              <w:t>Cyber / Network Security &amp; Privacy</w:t>
            </w:r>
          </w:p>
        </w:tc>
        <w:tc>
          <w:tcPr>
            <w:tcW w:type="dxa" w:w="2880"/>
            <w:vAlign w:val="center"/>
          </w:tcPr>
          <w:p>
            <w:r>
              <w:rPr>
                <w:b w:val="0"/>
                <w:i w:val="0"/>
                <w:sz w:val="18"/>
              </w:rPr>
              <w:t>$5,000,000</w:t>
            </w:r>
          </w:p>
        </w:tc>
        <w:tc>
          <w:tcPr>
            <w:tcW w:type="dxa" w:w="3168"/>
            <w:vAlign w:val="center"/>
          </w:tcPr>
          <w:p>
            <w:r>
              <w:rPr>
                <w:b w:val="0"/>
                <w:i w:val="0"/>
                <w:sz w:val="18"/>
              </w:rPr>
              <w:t>Data breach, network security, privacy liability</w:t>
            </w:r>
          </w:p>
        </w:tc>
      </w:tr>
      <w:tr>
        <w:tc>
          <w:tcPr>
            <w:tcW w:type="dxa" w:w="3024"/>
            <w:shd w:val="clear" w:color="auto" w:fill="F2F2F2"/>
            <w:vAlign w:val="center"/>
          </w:tcPr>
          <w:p>
            <w:r>
              <w:rPr>
                <w:b w:val="0"/>
                <w:i w:val="0"/>
                <w:sz w:val="18"/>
              </w:rPr>
              <w:t>Property / Builder's Risk</w:t>
            </w:r>
          </w:p>
        </w:tc>
        <w:tc>
          <w:tcPr>
            <w:tcW w:type="dxa" w:w="2880"/>
            <w:shd w:val="clear" w:color="auto" w:fill="F2F2F2"/>
            <w:vAlign w:val="center"/>
          </w:tcPr>
          <w:p>
            <w:r>
              <w:rPr>
                <w:b w:val="0"/>
                <w:i w:val="0"/>
                <w:sz w:val="18"/>
              </w:rPr>
              <w:t>full replacement cost of the Tribal Assets</w:t>
            </w:r>
          </w:p>
        </w:tc>
        <w:tc>
          <w:tcPr>
            <w:tcW w:type="dxa" w:w="3168"/>
            <w:shd w:val="clear" w:color="auto" w:fill="F2F2F2"/>
            <w:vAlign w:val="center"/>
          </w:tcPr>
          <w:p>
            <w:r>
              <w:rPr>
                <w:b w:val="0"/>
                <w:i w:val="0"/>
                <w:sz w:val="18"/>
              </w:rPr>
              <w:t>Covering the Tribal Assets during and after construction</w:t>
            </w:r>
          </w:p>
        </w:tc>
      </w:tr>
      <w:tr>
        <w:tc>
          <w:tcPr>
            <w:tcW w:type="dxa" w:w="3024"/>
            <w:vAlign w:val="center"/>
          </w:tcPr>
          <w:p>
            <w:r>
              <w:rPr>
                <w:b w:val="0"/>
                <w:i w:val="0"/>
                <w:sz w:val="18"/>
              </w:rPr>
              <w:t>Contractor's Pollution Liability</w:t>
            </w:r>
          </w:p>
        </w:tc>
        <w:tc>
          <w:tcPr>
            <w:tcW w:type="dxa" w:w="2880"/>
            <w:vAlign w:val="center"/>
          </w:tcPr>
          <w:p>
            <w:r>
              <w:rPr>
                <w:b w:val="0"/>
                <w:i w:val="0"/>
                <w:sz w:val="18"/>
              </w:rPr>
              <w:t>$1,000,000</w:t>
            </w:r>
          </w:p>
        </w:tc>
        <w:tc>
          <w:tcPr>
            <w:tcW w:type="dxa" w:w="3168"/>
            <w:vAlign w:val="center"/>
          </w:tcPr>
          <w:p>
            <w:r>
              <w:rPr>
                <w:b w:val="0"/>
                <w:i w:val="0"/>
                <w:sz w:val="18"/>
              </w:rPr>
              <w:t>Environmental / pollution incidents during construction</w:t>
            </w:r>
          </w:p>
        </w:tc>
      </w:tr>
    </w:tbl>
    <w:p>
      <w:pPr>
        <w:ind w:left="504"/>
      </w:pPr>
      <w:r>
        <w:rPr>
          <w:b/>
          <w:color w:val="0000C0"/>
        </w:rPr>
        <w:t xml:space="preserve">[ATTORNEY REVIEW REQUIRED]  </w:t>
      </w:r>
      <w:r>
        <w:rPr>
          <w:i/>
          <w:color w:val="595959"/>
        </w:rPr>
        <w:t>All limits are placeholders for negotiation and must be confirmed against the funded application, lender/leasing requirements, the value of the Tribal Assets, and any NTIA award conditions.</w:t>
      </w:r>
    </w:p>
    <w:p>
      <w:pPr>
        <w:pStyle w:val="Heading1"/>
        <w:spacing w:before="240" w:after="120"/>
      </w:pPr>
      <w:r>
        <w:rPr>
          <w:rFonts w:ascii="Calibri" w:hAnsi="Calibri"/>
          <w:b/>
          <w:color w:val="1F3864"/>
          <w:sz w:val="26"/>
        </w:rPr>
        <w:t>ARTICLE 2.  ENDORSEMENTS AND CONDITIONS</w:t>
      </w:r>
    </w:p>
    <w:p>
      <w:pPr>
        <w:pStyle w:val="Heading2"/>
        <w:spacing w:before="160" w:after="60"/>
      </w:pPr>
      <w:r>
        <w:rPr>
          <w:rFonts w:ascii="Calibri" w:hAnsi="Calibri"/>
          <w:b/>
          <w:color w:val="000000"/>
          <w:sz w:val="22"/>
        </w:rPr>
        <w:t xml:space="preserve">  Additional insured</w:t>
      </w:r>
    </w:p>
    <w:p>
      <w:pPr>
        <w:ind w:left="360"/>
      </w:pPr>
      <w:r>
        <w:rPr>
          <w:b w:val="0"/>
          <w:i w:val="0"/>
        </w:rPr>
        <w:t>The Lumbee Tribe of North Carolina (and, where required, its instrumentalities and the United States as its interest may appear) shall be named as additional insured on the CGL, auto, umbrella, and pollution policies.</w:t>
      </w:r>
    </w:p>
    <w:p>
      <w:pPr>
        <w:pStyle w:val="Heading2"/>
        <w:spacing w:before="160" w:after="60"/>
      </w:pPr>
      <w:r>
        <w:rPr>
          <w:rFonts w:ascii="Calibri" w:hAnsi="Calibri"/>
          <w:b/>
          <w:color w:val="000000"/>
          <w:sz w:val="22"/>
        </w:rPr>
        <w:t xml:space="preserve">  Waiver of subrogation</w:t>
      </w:r>
    </w:p>
    <w:p>
      <w:pPr>
        <w:ind w:left="360"/>
      </w:pPr>
      <w:r>
        <w:rPr>
          <w:b w:val="0"/>
          <w:i w:val="0"/>
        </w:rPr>
        <w:t>Each liability and property policy shall include a waiver of subrogation in favor of the Tribe.</w:t>
      </w:r>
    </w:p>
    <w:p>
      <w:pPr>
        <w:pStyle w:val="Heading2"/>
        <w:spacing w:before="160" w:after="60"/>
      </w:pPr>
      <w:r>
        <w:rPr>
          <w:rFonts w:ascii="Calibri" w:hAnsi="Calibri"/>
          <w:b/>
          <w:color w:val="000000"/>
          <w:sz w:val="22"/>
        </w:rPr>
        <w:t xml:space="preserve">  Primary and non-contributory</w:t>
      </w:r>
    </w:p>
    <w:p>
      <w:pPr>
        <w:ind w:left="360"/>
      </w:pPr>
      <w:r>
        <w:rPr>
          <w:b w:val="0"/>
          <w:i w:val="0"/>
        </w:rPr>
        <w:t>RIVR Tech's coverage shall be primary and non-contributory with respect to any insurance maintained by the Tribe.</w:t>
      </w:r>
    </w:p>
    <w:p>
      <w:pPr>
        <w:pStyle w:val="Heading2"/>
        <w:spacing w:before="160" w:after="60"/>
      </w:pPr>
      <w:r>
        <w:rPr>
          <w:rFonts w:ascii="Calibri" w:hAnsi="Calibri"/>
          <w:b/>
          <w:color w:val="000000"/>
          <w:sz w:val="22"/>
        </w:rPr>
        <w:t xml:space="preserve">  Property coverage of Tribal Assets</w:t>
      </w:r>
    </w:p>
    <w:p>
      <w:pPr>
        <w:ind w:left="360"/>
      </w:pPr>
      <w:r>
        <w:rPr>
          <w:b w:val="0"/>
          <w:i w:val="0"/>
        </w:rPr>
        <w:t>Property / builder's-risk coverage shall be written for the full replacement cost of the Tribal Assets to protect the Federal Interest consistent with 2 CFR 200.310 (Insurance coverage), with the Tribe as loss payee as its interest appears.</w:t>
      </w:r>
    </w:p>
    <w:p>
      <w:pPr>
        <w:pStyle w:val="Heading2"/>
        <w:spacing w:before="160" w:after="60"/>
      </w:pPr>
      <w:r>
        <w:rPr>
          <w:rFonts w:ascii="Calibri" w:hAnsi="Calibri"/>
          <w:b/>
          <w:color w:val="000000"/>
          <w:sz w:val="22"/>
        </w:rPr>
        <w:t xml:space="preserve">  Certificates of insurance</w:t>
      </w:r>
    </w:p>
    <w:p>
      <w:pPr>
        <w:ind w:left="360"/>
      </w:pPr>
      <w:r>
        <w:rPr>
          <w:b w:val="0"/>
          <w:i w:val="0"/>
        </w:rPr>
        <w:t xml:space="preserve">RIVR Tech shall deliver certificates (and endorsements on request) evidencing the required coverages before commencing work and upon each renewal. Certificate holder: </w:t>
      </w:r>
      <w:r>
        <w:rPr>
          <w:b w:val="0"/>
          <w:i w:val="0"/>
          <w:color w:val="804000"/>
          <w:highlight w:val="yellow"/>
        </w:rPr>
        <w:t>[■ Tribe notice address]</w:t>
      </w:r>
      <w:r>
        <w:rPr>
          <w:b w:val="0"/>
          <w:i w:val="0"/>
        </w:rPr>
        <w:t>.</w:t>
      </w:r>
    </w:p>
    <w:p>
      <w:pPr>
        <w:pStyle w:val="Heading2"/>
        <w:spacing w:before="160" w:after="60"/>
      </w:pPr>
      <w:r>
        <w:rPr>
          <w:rFonts w:ascii="Calibri" w:hAnsi="Calibri"/>
          <w:b/>
          <w:color w:val="000000"/>
          <w:sz w:val="22"/>
        </w:rPr>
        <w:t xml:space="preserve">  Notice of cancellation</w:t>
      </w:r>
    </w:p>
    <w:p>
      <w:pPr>
        <w:ind w:left="360"/>
      </w:pPr>
      <w:r>
        <w:rPr>
          <w:b w:val="0"/>
          <w:i w:val="0"/>
        </w:rPr>
        <w:t>RIVR Tech shall provide the Tribe at least thirty (30) days' written notice (ten (10) days for non-payment) of cancellation, non-renewal, or material reduction in coverage.</w:t>
      </w:r>
    </w:p>
    <w:p>
      <w:pPr>
        <w:pStyle w:val="Heading2"/>
        <w:spacing w:before="160" w:after="60"/>
      </w:pPr>
      <w:r>
        <w:rPr>
          <w:rFonts w:ascii="Calibri" w:hAnsi="Calibri"/>
          <w:b/>
          <w:color w:val="000000"/>
          <w:sz w:val="22"/>
        </w:rPr>
        <w:t xml:space="preserve">  Insurer rating</w:t>
      </w:r>
    </w:p>
    <w:p>
      <w:pPr>
        <w:ind w:left="360"/>
      </w:pPr>
      <w:r>
        <w:rPr>
          <w:b w:val="0"/>
          <w:i w:val="0"/>
        </w:rPr>
        <w:t xml:space="preserve">Insurers shall carry an A.M. Best rating of at least </w:t>
      </w:r>
      <w:r>
        <w:rPr>
          <w:b w:val="0"/>
          <w:i w:val="0"/>
          <w:color w:val="804000"/>
          <w:highlight w:val="yellow"/>
        </w:rPr>
        <w:t>[■ e.g., A- VII]</w:t>
      </w:r>
      <w:r>
        <w:rPr>
          <w:b w:val="0"/>
          <w:i w:val="0"/>
        </w:rPr>
        <w:t xml:space="preserve"> and be authorized to do business in North Carolina.</w:t>
      </w:r>
    </w:p>
    <w:p>
      <w:pPr>
        <w:ind w:left="504"/>
      </w:pPr>
      <w:r>
        <w:rPr>
          <w:b/>
          <w:color w:val="7F007F"/>
        </w:rPr>
        <w:t xml:space="preserve">[GRANT COMPLIANCE REVIEW REQUIRED]  </w:t>
      </w:r>
      <w:r>
        <w:rPr>
          <w:i/>
          <w:color w:val="595959"/>
        </w:rPr>
        <w:t>Insurance of the Tribal Assets supports the property-trust relationship (2 CFR 200.316 (Property trust relationship)) and the insurance requirement of 2 CFR 200.310 (Insurance coverage).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Exhibit I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