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DRAFT FOR DISCUSSION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EXHIBIT O</w:t>
      </w:r>
    </w:p>
    <w:p>
      <w:pPr>
        <w:jc w:val="center"/>
      </w:pPr>
      <w:r>
        <w:rPr>
          <w:b/>
          <w:color w:val="1F3864"/>
          <w:sz w:val="48"/>
        </w:rPr>
        <w:t>FORM OF IRU ROUTE ORDER</w:t>
      </w:r>
    </w:p>
    <w:p>
      <w:pPr>
        <w:jc w:val="center"/>
      </w:pPr>
      <w:r>
        <w:rPr>
          <w:color w:val="595959"/>
          <w:sz w:val="28"/>
        </w:rPr>
        <w:t>Places a Specific Route or Segment Under the IRU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July 16,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DRAFT FOR DISCUSSION – SUBJECT TO LEGAL, GRANT AND FINANCIAL REVIEW</w:t>
      </w:r>
    </w:p>
    <w:p/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1.  ROUTE ORDER</w:t>
      </w:r>
    </w:p>
    <w:p>
      <w:r>
        <w:rPr>
          <w:b w:val="0"/>
          <w:i w:val="0"/>
        </w:rPr>
        <w:t>This IRU Route Order is issued under, and incorporates by reference, the Indefeasible Right of Use Agreement (Document 02.02) between the Lumbee Tribe of North Carolina and LREMC Technologies, LLC d/b/a RIVR Tech. It places the route or segment described below under the IRU for the term stated. In the event of conflict, the IRU Agreement (02.02) controls.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2.  ROUTE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61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20"/>
              </w:rPr>
              <w:t>Route Order No.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RO-###]</w:t>
            </w:r>
          </w:p>
        </w:tc>
      </w:tr>
      <w:tr>
        <w:tc>
          <w:tcPr>
            <w:tcW w:type="dxa" w:w="34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Order date</w:t>
            </w:r>
          </w:p>
        </w:tc>
        <w:tc>
          <w:tcPr>
            <w:tcW w:type="dxa" w:w="561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date]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20"/>
              </w:rPr>
              <w:t>Route ID / segment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route ID and endpoints (Exhibit A)]</w:t>
            </w:r>
          </w:p>
        </w:tc>
      </w:tr>
      <w:tr>
        <w:tc>
          <w:tcPr>
            <w:tcW w:type="dxa" w:w="34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Strands granted under IRU</w:t>
            </w:r>
          </w:p>
        </w:tc>
        <w:tc>
          <w:tcPr>
            <w:tcW w:type="dxa" w:w="561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strand count / IDs (Exhibit C)]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20"/>
              </w:rPr>
              <w:t>Approx. route mileage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miles]</w:t>
            </w:r>
          </w:p>
        </w:tc>
      </w:tr>
      <w:tr>
        <w:tc>
          <w:tcPr>
            <w:tcW w:type="dxa" w:w="34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Acceptance reference</w:t>
            </w:r>
          </w:p>
        </w:tc>
        <w:tc>
          <w:tcPr>
            <w:tcW w:type="dxa" w:w="561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Acceptance Certificate No. (Exhibit G)]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3.  TERM</w:t>
      </w:r>
    </w:p>
    <w:p>
      <w:r>
        <w:rPr>
          <w:b w:val="0"/>
          <w:i w:val="0"/>
        </w:rPr>
        <w:t xml:space="preserve">Term commencement date: </w:t>
      </w:r>
      <w:r>
        <w:rPr>
          <w:b w:val="0"/>
          <w:i w:val="0"/>
          <w:color w:val="804000"/>
          <w:highlight w:val="yellow"/>
        </w:rPr>
        <w:t>[■ commencement date (typically the date placed in service)]</w:t>
      </w:r>
      <w:r>
        <w:rPr>
          <w:b w:val="0"/>
          <w:i w:val="0"/>
        </w:rPr>
        <w:t xml:space="preserve">. IRU term: </w:t>
      </w:r>
      <w:r>
        <w:rPr>
          <w:b w:val="0"/>
          <w:i w:val="0"/>
          <w:color w:val="804000"/>
          <w:highlight w:val="yellow"/>
        </w:rPr>
        <w:t>[■ term in years]</w:t>
      </w:r>
      <w:r>
        <w:rPr>
          <w:b w:val="0"/>
          <w:i w:val="0"/>
        </w:rPr>
        <w:t xml:space="preserve"> (recommended 30 years; options 20, 25, 30 years), consistent with the IRU Agreement (02.02) and its renewal provisions (two (2) renewal terms of ten (10) years each).</w:t>
      </w:r>
    </w:p>
    <w:p>
      <w:pPr>
        <w:ind w:left="504"/>
      </w:pPr>
      <w:r>
        <w:rPr>
          <w:b/>
          <w:color w:val="C00000"/>
        </w:rPr>
        <w:t xml:space="preserve">[BUSINESS DECISION REQUIRED]  </w:t>
      </w:r>
      <w:r>
        <w:rPr>
          <w:i/>
          <w:color w:val="595959"/>
        </w:rPr>
        <w:t>Confirm the IRU term for this route (recommended 30 years) and any route-specific renewal or early-termination terms.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4.  CONSIDERATION ALLOCATION</w:t>
      </w:r>
    </w:p>
    <w:p>
      <w:r>
        <w:rPr>
          <w:b w:val="0"/>
          <w:i w:val="0"/>
        </w:rPr>
        <w:t xml:space="preserve">Consideration allocated to this route: </w:t>
      </w:r>
      <w:r>
        <w:rPr>
          <w:b w:val="0"/>
          <w:i w:val="0"/>
          <w:color w:val="804000"/>
          <w:highlight w:val="yellow"/>
        </w:rPr>
        <w:t>[■ allocation of IRU consideration / operating payment to this route]</w:t>
      </w:r>
      <w:r>
        <w:rPr>
          <w:b w:val="0"/>
          <w:i w:val="0"/>
        </w:rPr>
        <w:t>. The prepaid IRU consideration and ongoing obligations are as set forth in the IRU Agreement (02.02): one dollar ($1.00) and other good and valuable consideration, plus the operating, maintenance, and revenue-sharing obligations set forth herein.</w:t>
      </w:r>
    </w:p>
    <w:p>
      <w:pPr>
        <w:ind w:left="504"/>
      </w:pPr>
      <w:r>
        <w:rPr>
          <w:b/>
          <w:color w:val="C00000"/>
        </w:rPr>
        <w:t xml:space="preserve">[BUSINESS DECISION REQUIRED]  </w:t>
      </w:r>
      <w:r>
        <w:rPr>
          <w:i/>
          <w:color w:val="595959"/>
        </w:rPr>
        <w:t>Route-level consideration allocation is a business decision; confirm against the term sheet and financial model.</w:t>
      </w:r>
    </w:p>
    <w:p>
      <w:pPr>
        <w:ind w:left="504"/>
      </w:pPr>
      <w:r>
        <w:rPr>
          <w:b/>
          <w:color w:val="7F007F"/>
        </w:rPr>
        <w:t xml:space="preserve">[GRANT COMPLIANCE REVIEW REQUIRED]  </w:t>
      </w:r>
      <w:r>
        <w:rPr>
          <w:i/>
          <w:color w:val="595959"/>
        </w:rPr>
        <w:t>Confirm that the IRU grant and any consideration are consistent with the Federal Interest in the grant-funded Tribal Assets and do not constitute a prohibited encumbrance or disposition under 2 CFR 200.311 (Real property — use, encumbrance, and disposition) / 2 CFR 200.313 (Equipment — use, management, and disposition).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5.  CROSS-REFERENCES AND EXECUTION</w:t>
      </w:r>
    </w:p>
    <w:p>
      <w:r>
        <w:rPr>
          <w:b w:val="0"/>
          <w:i w:val="0"/>
        </w:rPr>
        <w:t>This Route Order is subject to the IRU Agreement (02.02), the asset classification in Exhibit B, the strand allocation in Exhibit C, and the acceptance in Exhibit 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17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Party</w:t>
            </w:r>
          </w:p>
        </w:tc>
        <w:tc>
          <w:tcPr>
            <w:tcW w:type="dxa" w:w="489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 / Date</w:t>
            </w:r>
          </w:p>
        </w:tc>
      </w:tr>
      <w:tr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sz w:val="20"/>
              </w:rPr>
              <w:t>Tribe — authorized representative</w:t>
            </w:r>
          </w:p>
        </w:tc>
        <w:tc>
          <w:tcPr>
            <w:tcW w:type="dxa" w:w="489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name / title]</w:t>
            </w:r>
            <w:r>
              <w:rPr>
                <w:b w:val="0"/>
                <w:i w:val="0"/>
                <w:sz w:val="20"/>
              </w:rPr>
              <w:t xml:space="preserve">  ____________________  Date: ______</w:t>
            </w:r>
          </w:p>
        </w:tc>
      </w:tr>
      <w:tr>
        <w:tc>
          <w:tcPr>
            <w:tcW w:type="dxa" w:w="417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RIVR Tech — authorized representative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name / title]</w:t>
            </w:r>
            <w:r>
              <w:rPr>
                <w:b w:val="0"/>
                <w:i w:val="0"/>
                <w:sz w:val="20"/>
              </w:rPr>
              <w:t xml:space="preserve">  ____________________  Date: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Draft v0.1 | July 16,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Exhibit O  —  DRAFT FOR DISCUSSION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