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DRAFT FOR DISCUSSION – SUBJECT TO LEGAL, GRANT AND FINANCIAL REVIEW</w:t>
      </w:r>
    </w:p>
    <w:p/>
    <w:p/>
    <w:p/>
    <w:p>
      <w:pPr>
        <w:jc w:val="center"/>
      </w:pPr>
      <w:r>
        <w:rPr>
          <w:b/>
          <w:color w:val="595959"/>
          <w:sz w:val="24"/>
        </w:rPr>
        <w:t>DOCUMENT 01 — EXECUTIVE DEAL SUMMARY &amp; TERM SHEET</w:t>
      </w:r>
    </w:p>
    <w:p>
      <w:pPr>
        <w:jc w:val="center"/>
      </w:pPr>
      <w:r>
        <w:rPr>
          <w:b/>
          <w:color w:val="1F3864"/>
          <w:sz w:val="48"/>
        </w:rPr>
        <w:t>Executive Deal Summary and Term Sheet</w:t>
      </w:r>
    </w:p>
    <w:p>
      <w:pPr>
        <w:jc w:val="center"/>
      </w:pPr>
      <w:r>
        <w:rPr>
          <w:color w:val="595959"/>
          <w:sz w:val="28"/>
        </w:rPr>
        <w:t>Lumbee Tribe of North Carolina / RIVR Tech Broadband Partnership</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Draft v0.1</w:t>
      </w:r>
    </w:p>
    <w:p>
      <w:pPr>
        <w:jc w:val="center"/>
      </w:pPr>
      <w:r>
        <w:rPr>
          <w:b/>
          <w:sz w:val="20"/>
        </w:rPr>
        <w:t xml:space="preserve">Version Date:  </w:t>
      </w:r>
      <w:r>
        <w:rPr>
          <w:sz w:val="20"/>
        </w:rPr>
        <w:t>July 16,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r>
        <w:rPr>
          <w:b/>
          <w:color w:val="1F3864"/>
          <w:sz w:val="28"/>
        </w:rPr>
        <w:t>TABLE OF CONTENTS</w:t>
      </w:r>
    </w:p>
    <w:p>
      <w:r>
        <w:rPr>
          <w:i/>
          <w:color w:val="595959"/>
          <w:sz w:val="18"/>
        </w:rPr>
        <w:t>(Right-click and choose “Update Field” in Microsoft Word to populate page numbers.)</w:t>
      </w:r>
    </w:p>
    <w:p>
      <w:r>
        <w:fldChar w:fldCharType="begin"/>
        <w:instrText xml:space="preserve">TOC \o "1-3" \h \z \u</w:instrText>
        <w:fldChar w:fldCharType="separate"/>
        <w:fldChar w:fldCharType="end"/>
      </w:r>
    </w:p>
    <w:p>
      <w:r>
        <w:br w:type="page"/>
      </w:r>
    </w:p>
    <w:p>
      <w:pPr>
        <w:jc w:val="center"/>
      </w:pPr>
      <w:r>
        <w:rPr>
          <w:b/>
          <w:color w:val="C00000"/>
          <w:highlight w:val="yellow"/>
        </w:rPr>
        <w:t>DRAFT FOR DISCUSSION – SUBJECT TO LEGAL, GRANT AND FINANCIAL REVIEW</w:t>
      </w:r>
    </w:p>
    <w:p>
      <w:r>
        <w:rPr>
          <w:b w:val="0"/>
          <w:i/>
        </w:rPr>
        <w:t>This Executive Deal Summary and Term Sheet (this “Summary”) describes the proposed broadband partnership by and between Lumbee Tribe of North Carolina (the “Lumbee Tribe”), or a wholly owned Tribal entity or Tribally chartered instrumentality designated by the Lumbee Tribe, and LREMC Technologies, LLC d/b/a RIVR Tech (“RIVR Tech”). It is a non-binding working draft prepared to frame the transaction, isolate open business issues, and drive the definitive documents. It does not create legal obligations, is not an offer, and is subject in all respects to legal, grant-compliance, and financial review. Defined terms used but not defined here have the meanings given in the definitive agreements.</w:t>
      </w:r>
    </w:p>
    <w:p/>
    <w:p>
      <w:pPr>
        <w:pStyle w:val="Heading1"/>
        <w:spacing w:before="240" w:after="120"/>
      </w:pPr>
      <w:r>
        <w:rPr>
          <w:rFonts w:ascii="Calibri" w:hAnsi="Calibri"/>
          <w:b/>
          <w:color w:val="1F3864"/>
          <w:sz w:val="26"/>
        </w:rPr>
        <w:t>ARTICLE 1.  EXECUTIVE SUMMARY</w:t>
      </w:r>
    </w:p>
    <w:p>
      <w:pPr>
        <w:pStyle w:val="Heading2"/>
        <w:spacing w:before="160" w:after="60"/>
      </w:pPr>
      <w:r>
        <w:rPr>
          <w:rFonts w:ascii="Calibri" w:hAnsi="Calibri"/>
          <w:b/>
          <w:color w:val="000000"/>
          <w:sz w:val="22"/>
        </w:rPr>
        <w:t>1.1  The Opportunity</w:t>
      </w:r>
    </w:p>
    <w:p>
      <w:r>
        <w:rPr>
          <w:b w:val="0"/>
          <w:i w:val="0"/>
        </w:rPr>
        <w:t>The Lumbee Tribe intends to apply for, and if awarded to accept, funding under the Tribal Broadband Connectivity Program (TBCP) administered by the National Telecommunications and Information Administration (NTIA) under the TBCP Round 3 Notice of Funding Opportunity to deploy last-mile and distribution fiber broadband infrastructure serving unserved and underserved locations in southeastern North Carolina. The Lumbee Tribe will be the grant recipient of record, the legal owner of all grant-funded infrastructure, and the entity accountable to NTIA for compliance with the Award. RIVR Tech will design, engineer, construct, activate, operate, maintain, and commercialize the resulting Network and will deliver residential, business, and enterprise broadband, voice, and related services.</w:t>
      </w:r>
    </w:p>
    <w:p>
      <w:pPr>
        <w:pStyle w:val="Heading2"/>
        <w:spacing w:before="160" w:after="60"/>
      </w:pPr>
      <w:r>
        <w:rPr>
          <w:rFonts w:ascii="Calibri" w:hAnsi="Calibri"/>
          <w:b/>
          <w:color w:val="000000"/>
          <w:sz w:val="22"/>
        </w:rPr>
        <w:t>1.2  The Core Bargain</w:t>
      </w:r>
    </w:p>
    <w:p>
      <w:r>
        <w:rPr>
          <w:b w:val="0"/>
          <w:i w:val="0"/>
        </w:rPr>
        <w:t>The transaction is structured as a public-private partnership in which grant-funded assets are owned by the Lumbee Tribe and interconnected with RIVR Tech’s existing middle-mile, backbone, and core network. The Lumbee Tribe retains title to the Tribal Assets at all times; RIVR Tech receives a long-term IRU (IRU) to operate and commercialize the Tribal Assets in exchange for assuming construction delivery, operating and maintenance obligations, capital-at-risk, grant-compliance performance support, and revenue sharing back to the Lumbee Tribe. Title never transfers to RIVR Tech.</w:t>
      </w:r>
    </w:p>
    <w:p>
      <w:pPr>
        <w:pStyle w:val="ListBullet"/>
      </w:pPr>
      <w:r>
        <w:rPr>
          <w:b w:val="0"/>
          <w:i w:val="0"/>
        </w:rPr>
        <w:t>Recommended IRU term: 30 years, with two (2) renewal terms of ten (10) years each, subject to grant-compliance and Federal-Interest constraints.</w:t>
      </w:r>
    </w:p>
    <w:p>
      <w:pPr>
        <w:pStyle w:val="ListBullet"/>
      </w:pPr>
      <w:r>
        <w:rPr>
          <w:b w:val="0"/>
          <w:i w:val="0"/>
        </w:rPr>
        <w:t>Recommended revenue-sharing structure: Option D — Hybrid (Fixed Base Payment plus Revenue Share) (described in Article 11).</w:t>
      </w:r>
    </w:p>
    <w:p>
      <w:pPr>
        <w:pStyle w:val="ListBullet"/>
      </w:pPr>
      <w:r>
        <w:rPr>
          <w:b w:val="0"/>
          <w:i w:val="0"/>
        </w:rPr>
        <w:t>Clear Demarcation Point discipline separates Tribal Assets from RIVR Tech Assets so that Federal-Interest, audit, and disposition rules attach only to grant-funded property.</w:t>
      </w:r>
    </w:p>
    <w:p>
      <w:pPr>
        <w:pStyle w:val="Heading2"/>
        <w:spacing w:before="160" w:after="60"/>
      </w:pPr>
      <w:r>
        <w:rPr>
          <w:rFonts w:ascii="Calibri" w:hAnsi="Calibri"/>
          <w:b/>
          <w:color w:val="000000"/>
          <w:sz w:val="22"/>
        </w:rPr>
        <w:t>1.3  Why This Structure</w:t>
      </w:r>
    </w:p>
    <w:p>
      <w:r>
        <w:rPr>
          <w:b w:val="0"/>
          <w:i w:val="0"/>
        </w:rPr>
        <w:t>The ownership-plus-IRU model lets the Lumbee Tribe satisfy the TBCP requirement that grant assets be owned and controlled by the Tribal government while transferring operational execution and commercial risk to an experienced operator that already owns adjacent middle-mile facilities. It preserves Tribal sovereignty and long-term asset value, accelerates deployment, and avoids the Lumbee Tribe having to stand up a full telecommunications operating company. It also keeps the Federal Interest cleanly identifiable, which is essential for NTIA reporting, audit, and disposition.</w:t>
      </w:r>
    </w:p>
    <w:p/>
    <w:p>
      <w:r>
        <w:rPr>
          <w:b/>
          <w:i w:val="0"/>
        </w:rPr>
        <w:t>THRESHOLD ELIGIBILITY ISSUE — MUST BE RESOLVED BEFORE APPLICATION</w:t>
      </w:r>
    </w:p>
    <w:p>
      <w:pPr>
        <w:ind w:left="504"/>
      </w:pPr>
      <w:r>
        <w:rPr>
          <w:b/>
          <w:color w:val="7F007F"/>
        </w:rPr>
        <w:t xml:space="preserve">[GRANT COMPLIANCE REVIEW REQUIRED]  </w:t>
      </w:r>
      <w:r>
        <w:rPr>
          <w:i/>
          <w:color w:val="595959"/>
        </w:rPr>
        <w:t>The Lumbee Tribe’s status under the Lumbee Act of 1956, Pub. L. 84-570, 70 Stat. 254 (federal-recognition status affecting TBCP eligibility) directly affects whether the Lumbee Tribe qualifies as a “Tribal Government” eligible for TBCP funding. The Lumbee Act granted federal recognition of the Lumbee as Indians but has been historically construed to withhold eligibility for certain federal Indian programs and services. Whether the Lumbee Tribe (or a designated Tribal entity) meets the TBCP definition of an eligible entity is a gating question that determines whether this transaction can proceed at all.</w:t>
      </w:r>
    </w:p>
    <w:p>
      <w:pPr>
        <w:ind w:left="504"/>
      </w:pPr>
      <w:r>
        <w:rPr>
          <w:b/>
          <w:color w:val="0000C0"/>
        </w:rPr>
        <w:t xml:space="preserve">[ATTORNEY REVIEW REQUIRED]  </w:t>
      </w:r>
      <w:r>
        <w:rPr>
          <w:i/>
          <w:color w:val="595959"/>
        </w:rPr>
        <w:t>Eligibility counsel and grant counsel must confirm, in writing and before any application is filed, the eligibility basis on which the Lumbee Tribe will apply (e.g., statutory recognition, applicable NTIA guidance, or an alternative eligible applicant/co-applicant structure). This Summary does not resolve the question and assumes, solely for drafting purposes, that eligibility is or will be established. All downstream provisions are contingent on that confirmation. [■ eligibility determination basis and supporting opinion].</w:t>
      </w:r>
    </w:p>
    <w:p>
      <w:pPr>
        <w:pStyle w:val="Heading1"/>
        <w:spacing w:before="240" w:after="120"/>
      </w:pPr>
      <w:r>
        <w:rPr>
          <w:rFonts w:ascii="Calibri" w:hAnsi="Calibri"/>
          <w:b/>
          <w:color w:val="1F3864"/>
          <w:sz w:val="26"/>
        </w:rPr>
        <w:t>ARTICLE 2.  PURPOSE OF THE PARTNERSHIP</w:t>
      </w:r>
    </w:p>
    <w:p>
      <w:pPr>
        <w:pStyle w:val="Heading2"/>
        <w:spacing w:before="160" w:after="60"/>
      </w:pPr>
      <w:r>
        <w:rPr>
          <w:rFonts w:ascii="Calibri" w:hAnsi="Calibri"/>
          <w:b/>
          <w:color w:val="000000"/>
          <w:sz w:val="22"/>
        </w:rPr>
        <w:t>2.1  Shared Objectives</w:t>
      </w:r>
    </w:p>
    <w:p>
      <w:r>
        <w:rPr>
          <w:b w:val="0"/>
          <w:i w:val="0"/>
        </w:rPr>
        <w:t>The Parties intend to close the broadband gap in southeastern North Carolina by deploying a modern fiber-optic Network capable of delivering service at or above the TBCP speed floor of 100/20 Mbps, prioritizing unserved and underserved Tribal and community locations, anchor institutions, and Tribal government facilities.</w:t>
      </w:r>
    </w:p>
    <w:p>
      <w:pPr>
        <w:pStyle w:val="ListBullet"/>
      </w:pPr>
      <w:r>
        <w:rPr>
          <w:b w:val="0"/>
          <w:i w:val="0"/>
        </w:rPr>
        <w:t>For the Lumbee Tribe: durable Tribally owned infrastructure, digital equity for members, revenue to the Tribal government, reserved capacity for Tribal use, and full compliance with the Award.</w:t>
      </w:r>
    </w:p>
    <w:p>
      <w:pPr>
        <w:pStyle w:val="ListBullet"/>
      </w:pPr>
      <w:r>
        <w:rPr>
          <w:b w:val="0"/>
          <w:i w:val="0"/>
        </w:rPr>
        <w:t>For RIVR Tech: a long-term operating footprint that leverages existing backbone assets, a subscriber base, and a predictable commercial return over the IRU term.</w:t>
      </w:r>
    </w:p>
    <w:p>
      <w:pPr>
        <w:pStyle w:val="Heading2"/>
        <w:spacing w:before="160" w:after="60"/>
      </w:pPr>
      <w:r>
        <w:rPr>
          <w:rFonts w:ascii="Calibri" w:hAnsi="Calibri"/>
          <w:b/>
          <w:color w:val="000000"/>
          <w:sz w:val="22"/>
        </w:rPr>
        <w:t>2.2  Guiding Principles</w:t>
      </w:r>
    </w:p>
    <w:p>
      <w:r>
        <w:rPr>
          <w:b w:val="0"/>
          <w:i w:val="0"/>
        </w:rPr>
        <w:t>The definitive documents will be drafted to honor five principles that govern every downstream provision:</w:t>
      </w:r>
    </w:p>
    <w:p>
      <w:pPr>
        <w:pStyle w:val="ListNumber"/>
      </w:pPr>
      <w:r>
        <w:rPr>
          <w:b w:val="0"/>
          <w:i w:val="0"/>
        </w:rPr>
        <w:t>Tribal ownership and sovereignty are preserved; title to Tribal Assets never leaves the Lumbee Tribe.</w:t>
      </w:r>
    </w:p>
    <w:p>
      <w:pPr>
        <w:pStyle w:val="ListNumber"/>
      </w:pPr>
      <w:r>
        <w:rPr>
          <w:b w:val="0"/>
          <w:i w:val="0"/>
        </w:rPr>
        <w:t>Grant compliance is paramount; no commercial term may override the Award, 2 CFR Part 200 (Uniform Administrative Requirements, Cost Principles, and Audit Requirements for Federal Awards), or NTIA conditions.</w:t>
      </w:r>
    </w:p>
    <w:p>
      <w:pPr>
        <w:pStyle w:val="ListNumber"/>
      </w:pPr>
      <w:r>
        <w:rPr>
          <w:b w:val="0"/>
          <w:i w:val="0"/>
        </w:rPr>
        <w:t>Risk follows capability; the Party best able to manage a given risk bears it.</w:t>
      </w:r>
    </w:p>
    <w:p>
      <w:pPr>
        <w:pStyle w:val="ListNumber"/>
      </w:pPr>
      <w:r>
        <w:rPr>
          <w:b w:val="0"/>
          <w:i w:val="0"/>
        </w:rPr>
        <w:t>Economics are transparent, auditable, and separable from the Federal Interest.</w:t>
      </w:r>
    </w:p>
    <w:p>
      <w:pPr>
        <w:pStyle w:val="ListNumber"/>
      </w:pPr>
      <w:r>
        <w:rPr>
          <w:b w:val="0"/>
          <w:i w:val="0"/>
        </w:rPr>
        <w:t>Continuity of service to Tribal members and anchor institutions is protected through step-in and transition rights.</w:t>
      </w:r>
    </w:p>
    <w:p>
      <w:pPr>
        <w:pStyle w:val="Heading1"/>
        <w:spacing w:before="240" w:after="120"/>
      </w:pPr>
      <w:r>
        <w:rPr>
          <w:rFonts w:ascii="Calibri" w:hAnsi="Calibri"/>
          <w:b/>
          <w:color w:val="1F3864"/>
          <w:sz w:val="26"/>
        </w:rPr>
        <w:t>ARTICLE 3.  PROPOSED TRANSACTION STRUCTURE</w:t>
      </w:r>
    </w:p>
    <w:p>
      <w:pPr>
        <w:pStyle w:val="Heading2"/>
        <w:spacing w:before="160" w:after="60"/>
      </w:pPr>
      <w:r>
        <w:rPr>
          <w:rFonts w:ascii="Calibri" w:hAnsi="Calibri"/>
          <w:b/>
          <w:color w:val="000000"/>
          <w:sz w:val="22"/>
        </w:rPr>
        <w:t>3.1  Documentary Architecture</w:t>
      </w:r>
    </w:p>
    <w:p>
      <w:r>
        <w:rPr>
          <w:b w:val="0"/>
          <w:i w:val="0"/>
        </w:rPr>
        <w:t>The relationship is expected to be implemented through a suite of definitive documents, each cross-referencing this Summary’s allocation of ownership, risk, and economics:</w:t>
      </w:r>
    </w:p>
    <w:tbl>
      <w:tblPr>
        <w:tblStyle w:val="TableGrid"/>
        <w:tblW w:type="auto" w:w="0"/>
        <w:jc w:val="center"/>
        <w:tblLook w:firstColumn="1" w:firstRow="1" w:lastColumn="0" w:lastRow="0" w:noHBand="0" w:noVBand="1" w:val="04A0"/>
      </w:tblPr>
      <w:tblGrid>
        <w:gridCol w:w="3120"/>
        <w:gridCol w:w="3120"/>
        <w:gridCol w:w="3120"/>
      </w:tblGrid>
      <w:tr>
        <w:tc>
          <w:tcPr>
            <w:tcW w:type="dxa" w:w="2736"/>
            <w:shd w:val="clear" w:color="auto" w:fill="1F3864"/>
            <w:vAlign w:val="center"/>
          </w:tcPr>
          <w:p>
            <w:pPr>
              <w:jc w:val="center"/>
            </w:pPr>
            <w:r>
              <w:rPr>
                <w:b/>
                <w:color w:val="FFFFFF"/>
                <w:sz w:val="18"/>
              </w:rPr>
              <w:t>Instrument</w:t>
            </w:r>
          </w:p>
        </w:tc>
        <w:tc>
          <w:tcPr>
            <w:tcW w:type="dxa" w:w="3744"/>
            <w:shd w:val="clear" w:color="auto" w:fill="1F3864"/>
            <w:vAlign w:val="center"/>
          </w:tcPr>
          <w:p>
            <w:pPr>
              <w:jc w:val="center"/>
            </w:pPr>
            <w:r>
              <w:rPr>
                <w:b/>
                <w:color w:val="FFFFFF"/>
                <w:sz w:val="18"/>
              </w:rPr>
              <w:t>Primary Purpose</w:t>
            </w:r>
          </w:p>
        </w:tc>
        <w:tc>
          <w:tcPr>
            <w:tcW w:type="dxa" w:w="2880"/>
            <w:shd w:val="clear" w:color="auto" w:fill="1F3864"/>
            <w:vAlign w:val="center"/>
          </w:tcPr>
          <w:p>
            <w:pPr>
              <w:jc w:val="center"/>
            </w:pPr>
            <w:r>
              <w:rPr>
                <w:b/>
                <w:color w:val="FFFFFF"/>
                <w:sz w:val="18"/>
              </w:rPr>
              <w:t>Primary Party Obligations</w:t>
            </w:r>
          </w:p>
        </w:tc>
      </w:tr>
      <w:tr>
        <w:tc>
          <w:tcPr>
            <w:tcW w:type="dxa" w:w="2736"/>
            <w:vAlign w:val="center"/>
          </w:tcPr>
          <w:p>
            <w:r>
              <w:rPr>
                <w:b w:val="0"/>
                <w:i w:val="0"/>
                <w:sz w:val="18"/>
              </w:rPr>
              <w:t>Master Partnership / Framework Agreement</w:t>
            </w:r>
          </w:p>
        </w:tc>
        <w:tc>
          <w:tcPr>
            <w:tcW w:type="dxa" w:w="3744"/>
            <w:vAlign w:val="center"/>
          </w:tcPr>
          <w:p>
            <w:r>
              <w:rPr>
                <w:b w:val="0"/>
                <w:i w:val="0"/>
                <w:sz w:val="18"/>
              </w:rPr>
              <w:t>Umbrella terms, defined terms, conditions precedent, compliance covenants</w:t>
            </w:r>
          </w:p>
        </w:tc>
        <w:tc>
          <w:tcPr>
            <w:tcW w:type="dxa" w:w="2880"/>
            <w:vAlign w:val="center"/>
          </w:tcPr>
          <w:p>
            <w:r>
              <w:rPr>
                <w:b w:val="0"/>
                <w:i w:val="0"/>
                <w:sz w:val="18"/>
              </w:rPr>
              <w:t>Both Parties</w:t>
            </w:r>
          </w:p>
        </w:tc>
      </w:tr>
      <w:tr>
        <w:tc>
          <w:tcPr>
            <w:tcW w:type="dxa" w:w="2736"/>
            <w:shd w:val="clear" w:color="auto" w:fill="F2F2F2"/>
            <w:vAlign w:val="center"/>
          </w:tcPr>
          <w:p>
            <w:r>
              <w:rPr>
                <w:b w:val="0"/>
                <w:i w:val="0"/>
                <w:sz w:val="18"/>
              </w:rPr>
              <w:t>IRU Agreement</w:t>
            </w:r>
          </w:p>
        </w:tc>
        <w:tc>
          <w:tcPr>
            <w:tcW w:type="dxa" w:w="3744"/>
            <w:shd w:val="clear" w:color="auto" w:fill="F2F2F2"/>
            <w:vAlign w:val="center"/>
          </w:tcPr>
          <w:p>
            <w:r>
              <w:rPr>
                <w:b w:val="0"/>
                <w:i w:val="0"/>
                <w:sz w:val="18"/>
              </w:rPr>
              <w:t>Grant of the long-term right to use and commercialize the Tribal Assets</w:t>
            </w:r>
          </w:p>
        </w:tc>
        <w:tc>
          <w:tcPr>
            <w:tcW w:type="dxa" w:w="2880"/>
            <w:shd w:val="clear" w:color="auto" w:fill="F2F2F2"/>
            <w:vAlign w:val="center"/>
          </w:tcPr>
          <w:p>
            <w:r>
              <w:rPr>
                <w:b w:val="0"/>
                <w:i w:val="0"/>
                <w:sz w:val="18"/>
              </w:rPr>
              <w:t>Lumbee Tribe grants; RIVR Tech holds</w:t>
            </w:r>
          </w:p>
        </w:tc>
      </w:tr>
      <w:tr>
        <w:tc>
          <w:tcPr>
            <w:tcW w:type="dxa" w:w="2736"/>
            <w:vAlign w:val="center"/>
          </w:tcPr>
          <w:p>
            <w:r>
              <w:rPr>
                <w:b w:val="0"/>
                <w:i w:val="0"/>
                <w:sz w:val="18"/>
              </w:rPr>
              <w:t>Design-Build / Construction Agreement</w:t>
            </w:r>
          </w:p>
        </w:tc>
        <w:tc>
          <w:tcPr>
            <w:tcW w:type="dxa" w:w="3744"/>
            <w:vAlign w:val="center"/>
          </w:tcPr>
          <w:p>
            <w:r>
              <w:rPr>
                <w:b w:val="0"/>
                <w:i w:val="0"/>
                <w:sz w:val="18"/>
              </w:rPr>
              <w:t>Engineering, procurement, and construction of the Grant-Funded Infrastructure</w:t>
            </w:r>
          </w:p>
        </w:tc>
        <w:tc>
          <w:tcPr>
            <w:tcW w:type="dxa" w:w="2880"/>
            <w:vAlign w:val="center"/>
          </w:tcPr>
          <w:p>
            <w:r>
              <w:rPr>
                <w:b w:val="0"/>
                <w:i w:val="0"/>
                <w:sz w:val="18"/>
              </w:rPr>
              <w:t>RIVR Tech performs</w:t>
            </w:r>
          </w:p>
        </w:tc>
      </w:tr>
      <w:tr>
        <w:tc>
          <w:tcPr>
            <w:tcW w:type="dxa" w:w="2736"/>
            <w:shd w:val="clear" w:color="auto" w:fill="F2F2F2"/>
            <w:vAlign w:val="center"/>
          </w:tcPr>
          <w:p>
            <w:r>
              <w:rPr>
                <w:b w:val="0"/>
                <w:i w:val="0"/>
                <w:sz w:val="18"/>
              </w:rPr>
              <w:t>Operations &amp; Maintenance (O&amp;M) Agreement</w:t>
            </w:r>
          </w:p>
        </w:tc>
        <w:tc>
          <w:tcPr>
            <w:tcW w:type="dxa" w:w="3744"/>
            <w:shd w:val="clear" w:color="auto" w:fill="F2F2F2"/>
            <w:vAlign w:val="center"/>
          </w:tcPr>
          <w:p>
            <w:r>
              <w:rPr>
                <w:b w:val="0"/>
                <w:i w:val="0"/>
                <w:sz w:val="18"/>
              </w:rPr>
              <w:t>Operation, maintenance, NOC, and SLA performance</w:t>
            </w:r>
          </w:p>
        </w:tc>
        <w:tc>
          <w:tcPr>
            <w:tcW w:type="dxa" w:w="2880"/>
            <w:shd w:val="clear" w:color="auto" w:fill="F2F2F2"/>
            <w:vAlign w:val="center"/>
          </w:tcPr>
          <w:p>
            <w:r>
              <w:rPr>
                <w:b w:val="0"/>
                <w:i w:val="0"/>
                <w:sz w:val="18"/>
              </w:rPr>
              <w:t>RIVR Tech performs</w:t>
            </w:r>
          </w:p>
        </w:tc>
      </w:tr>
      <w:tr>
        <w:tc>
          <w:tcPr>
            <w:tcW w:type="dxa" w:w="2736"/>
            <w:vAlign w:val="center"/>
          </w:tcPr>
          <w:p>
            <w:r>
              <w:rPr>
                <w:b w:val="0"/>
                <w:i w:val="0"/>
                <w:sz w:val="18"/>
              </w:rPr>
              <w:t>Revenue-Share / Financial Schedule</w:t>
            </w:r>
          </w:p>
        </w:tc>
        <w:tc>
          <w:tcPr>
            <w:tcW w:type="dxa" w:w="3744"/>
            <w:vAlign w:val="center"/>
          </w:tcPr>
          <w:p>
            <w:r>
              <w:rPr>
                <w:b w:val="0"/>
                <w:i w:val="0"/>
                <w:sz w:val="18"/>
              </w:rPr>
              <w:t>Consideration, revenue definitions, sharing mechanics, reporting</w:t>
            </w:r>
          </w:p>
        </w:tc>
        <w:tc>
          <w:tcPr>
            <w:tcW w:type="dxa" w:w="2880"/>
            <w:vAlign w:val="center"/>
          </w:tcPr>
          <w:p>
            <w:r>
              <w:rPr>
                <w:b w:val="0"/>
                <w:i w:val="0"/>
                <w:sz w:val="18"/>
              </w:rPr>
              <w:t>Both Parties</w:t>
            </w:r>
          </w:p>
        </w:tc>
      </w:tr>
      <w:tr>
        <w:tc>
          <w:tcPr>
            <w:tcW w:type="dxa" w:w="2736"/>
            <w:shd w:val="clear" w:color="auto" w:fill="F2F2F2"/>
            <w:vAlign w:val="center"/>
          </w:tcPr>
          <w:p>
            <w:r>
              <w:rPr>
                <w:b w:val="0"/>
                <w:i w:val="0"/>
                <w:sz w:val="18"/>
              </w:rPr>
              <w:t>Grant-Compliance &amp; Federal-Interest Rider</w:t>
            </w:r>
          </w:p>
        </w:tc>
        <w:tc>
          <w:tcPr>
            <w:tcW w:type="dxa" w:w="3744"/>
            <w:shd w:val="clear" w:color="auto" w:fill="F2F2F2"/>
            <w:vAlign w:val="center"/>
          </w:tcPr>
          <w:p>
            <w:r>
              <w:rPr>
                <w:b w:val="0"/>
                <w:i w:val="0"/>
                <w:sz w:val="18"/>
              </w:rPr>
              <w:t>Flow-down of Award, 2 CFR Part 200, as revised effective October 1, 2024 (equipment/supplies and disposition threshold $10,000; single-audit threshold $1,000,000), BABA, NEPA/NHPA obligations</w:t>
            </w:r>
          </w:p>
        </w:tc>
        <w:tc>
          <w:tcPr>
            <w:tcW w:type="dxa" w:w="2880"/>
            <w:shd w:val="clear" w:color="auto" w:fill="F2F2F2"/>
            <w:vAlign w:val="center"/>
          </w:tcPr>
          <w:p>
            <w:r>
              <w:rPr>
                <w:b w:val="0"/>
                <w:i w:val="0"/>
                <w:sz w:val="18"/>
              </w:rPr>
              <w:t>Both Parties</w:t>
            </w:r>
          </w:p>
        </w:tc>
      </w:tr>
    </w:tbl>
    <w:p>
      <w:pPr>
        <w:ind w:left="504"/>
      </w:pPr>
      <w:r>
        <w:rPr>
          <w:b/>
          <w:color w:val="0000C0"/>
        </w:rPr>
        <w:t xml:space="preserve">[ATTORNEY REVIEW REQUIRED]  </w:t>
      </w:r>
      <w:r>
        <w:rPr>
          <w:i/>
          <w:color w:val="595959"/>
        </w:rPr>
        <w:t>Whether these are separate executed instruments or exhibits to a single master agreement is a structuring choice with tax, assignment, and lender-consent consequences. Counsel to confirm the documentary architecture.</w:t>
      </w:r>
    </w:p>
    <w:p>
      <w:pPr>
        <w:pStyle w:val="Heading2"/>
        <w:spacing w:before="160" w:after="60"/>
      </w:pPr>
      <w:r>
        <w:rPr>
          <w:rFonts w:ascii="Calibri" w:hAnsi="Calibri"/>
          <w:b/>
          <w:color w:val="000000"/>
          <w:sz w:val="22"/>
        </w:rPr>
        <w:t>3.2  Alternative Structures Considered</w:t>
      </w:r>
    </w:p>
    <w:p>
      <w:r>
        <w:rPr>
          <w:b w:val="0"/>
          <w:i w:val="0"/>
        </w:rPr>
        <w:t>Two alternatives were considered and are not recommended, for the reasons noted:</w:t>
      </w:r>
    </w:p>
    <w:p>
      <w:pPr>
        <w:pStyle w:val="ListBullet"/>
      </w:pPr>
      <w:r>
        <w:rPr>
          <w:b w:val="0"/>
          <w:i w:val="0"/>
        </w:rPr>
        <w:t>Alternative 1 — Outright transfer/lease of assets to RIVR Tech. Rejected: inconsistent with TBCP ownership requirements and Federal-Interest/disposition rules; erodes Tribal sovereignty.</w:t>
      </w:r>
    </w:p>
    <w:p>
      <w:pPr>
        <w:pStyle w:val="ListBullet"/>
      </w:pPr>
      <w:r>
        <w:rPr>
          <w:b w:val="0"/>
          <w:i w:val="0"/>
        </w:rPr>
        <w:t>Alternative 2 — Lumbee Tribe self-operates the entire Network. Rejected (for now): requires the Lumbee Tribe to build full telecom operating capability and bear operating risk; slower to market. Retained as a fallback through step-in and transition rights (Article 18).</w:t>
      </w:r>
    </w:p>
    <w:p>
      <w:r>
        <w:rPr>
          <w:b/>
          <w:i w:val="0"/>
        </w:rPr>
        <w:t>Recommendation: proceed with the ownership-plus-IRU structure described in Section 1.2.</w:t>
      </w:r>
    </w:p>
    <w:p>
      <w:pPr>
        <w:pStyle w:val="Heading1"/>
        <w:spacing w:before="240" w:after="120"/>
      </w:pPr>
      <w:r>
        <w:rPr>
          <w:rFonts w:ascii="Calibri" w:hAnsi="Calibri"/>
          <w:b/>
          <w:color w:val="1F3864"/>
          <w:sz w:val="26"/>
        </w:rPr>
        <w:t>ARTICLE 4.  ROLES OF THE LUMBEE TRIBE AND RIVR TECH</w:t>
      </w:r>
    </w:p>
    <w:p>
      <w:pPr>
        <w:pStyle w:val="Heading2"/>
        <w:spacing w:before="160" w:after="60"/>
      </w:pPr>
      <w:r>
        <w:rPr>
          <w:rFonts w:ascii="Calibri" w:hAnsi="Calibri"/>
          <w:b/>
          <w:color w:val="000000"/>
          <w:sz w:val="22"/>
        </w:rPr>
        <w:t>4.1  Role of the Lumbee Tribe</w:t>
      </w:r>
    </w:p>
    <w:p>
      <w:r>
        <w:rPr>
          <w:b w:val="0"/>
          <w:i w:val="0"/>
        </w:rPr>
        <w:t>The Lumbee Tribe acts as grant recipient, asset owner, and compliance principal.</w:t>
      </w:r>
    </w:p>
    <w:p>
      <w:pPr>
        <w:pStyle w:val="ListBullet"/>
      </w:pPr>
      <w:r>
        <w:rPr>
          <w:b w:val="0"/>
          <w:i w:val="0"/>
        </w:rPr>
        <w:t>Applies for and, if awarded, accepts and administers the TBCP Award as the recipient of record and pass-through entity where applicable (2 CFR 200.332 (Requirements for pass-through entities)).</w:t>
      </w:r>
    </w:p>
    <w:p>
      <w:pPr>
        <w:pStyle w:val="ListBullet"/>
      </w:pPr>
      <w:r>
        <w:rPr>
          <w:b w:val="0"/>
          <w:i w:val="0"/>
        </w:rPr>
        <w:t>Holds and retains title to all Tribal Assets and maintains the property and inventory records required by 2 CFR 200.313 (Equipment — use, management, and disposition) and 2 CFR 200.311 (Real property — use, encumbrance, and disposition).</w:t>
      </w:r>
    </w:p>
    <w:p>
      <w:pPr>
        <w:pStyle w:val="ListBullet"/>
      </w:pPr>
      <w:r>
        <w:rPr>
          <w:b w:val="0"/>
          <w:i w:val="0"/>
        </w:rPr>
        <w:t>Grants the IRU to RIVR Tech and enforces the definitive documents.</w:t>
      </w:r>
    </w:p>
    <w:p>
      <w:pPr>
        <w:pStyle w:val="ListBullet"/>
      </w:pPr>
      <w:r>
        <w:rPr>
          <w:b w:val="0"/>
          <w:i w:val="0"/>
        </w:rPr>
        <w:t>Exercises governmental functions: rights-of-way on Tribal land, resolutions, and any limited waiver of sovereign immunity that the Tribal government elects to grant.</w:t>
      </w:r>
    </w:p>
    <w:p>
      <w:pPr>
        <w:pStyle w:val="ListBullet"/>
      </w:pPr>
      <w:r>
        <w:rPr>
          <w:b w:val="0"/>
          <w:i w:val="0"/>
        </w:rPr>
        <w:t>Receives revenue share and reserved capacity, and consumes Tribal government and anchor-institution services (Articles 15–16).</w:t>
      </w:r>
    </w:p>
    <w:p>
      <w:pPr>
        <w:pStyle w:val="Heading2"/>
        <w:spacing w:before="160" w:after="60"/>
      </w:pPr>
      <w:r>
        <w:rPr>
          <w:rFonts w:ascii="Calibri" w:hAnsi="Calibri"/>
          <w:b/>
          <w:color w:val="000000"/>
          <w:sz w:val="22"/>
        </w:rPr>
        <w:t>4.2  Role of RIVR Tech</w:t>
      </w:r>
    </w:p>
    <w:p>
      <w:r>
        <w:rPr>
          <w:b w:val="0"/>
          <w:i w:val="0"/>
        </w:rPr>
        <w:t>RIVR Tech acts as developer, operator, and commercial service provider.</w:t>
      </w:r>
    </w:p>
    <w:p>
      <w:pPr>
        <w:pStyle w:val="ListBullet"/>
      </w:pPr>
      <w:r>
        <w:rPr>
          <w:b w:val="0"/>
          <w:i w:val="0"/>
        </w:rPr>
        <w:t>Designs, engineers, procures for, constructs, tests, and activates the Grant-Funded Infrastructure under the Design-Build Agreement.</w:t>
      </w:r>
    </w:p>
    <w:p>
      <w:pPr>
        <w:pStyle w:val="ListBullet"/>
      </w:pPr>
      <w:r>
        <w:rPr>
          <w:b w:val="0"/>
          <w:i w:val="0"/>
        </w:rPr>
        <w:t>Interconnects the Tribal Assets with the RIVR Tech Existing Network at the Demarcation Point.</w:t>
      </w:r>
    </w:p>
    <w:p>
      <w:pPr>
        <w:pStyle w:val="ListBullet"/>
      </w:pPr>
      <w:r>
        <w:rPr>
          <w:b w:val="0"/>
          <w:i w:val="0"/>
        </w:rPr>
        <w:t>Operates and maintains the Network, staffs the NOC (24 hours per day, 7 days per week, 365 days per year), and meets the SLA (Article 7).</w:t>
      </w:r>
    </w:p>
    <w:p>
      <w:pPr>
        <w:pStyle w:val="ListBullet"/>
      </w:pPr>
      <w:r>
        <w:rPr>
          <w:b w:val="0"/>
          <w:i w:val="0"/>
        </w:rPr>
        <w:t>Markets and sells services; owns the retail customer relationship, billing, and collections (Articles 9–10).</w:t>
      </w:r>
    </w:p>
    <w:p>
      <w:pPr>
        <w:pStyle w:val="ListBullet"/>
      </w:pPr>
      <w:r>
        <w:rPr>
          <w:b w:val="0"/>
          <w:i w:val="0"/>
        </w:rPr>
        <w:t>Supports the Lumbee Tribe’s grant-compliance, BABA, environmental/historic, reporting, and audit obligations by supplying data and certifications.</w:t>
      </w:r>
    </w:p>
    <w:p>
      <w:pPr>
        <w:pStyle w:val="ListBullet"/>
      </w:pPr>
      <w:r>
        <w:rPr>
          <w:b w:val="0"/>
          <w:i w:val="0"/>
        </w:rPr>
        <w:t>Pays the agreed consideration and revenue share to the Lumbee Tribe.</w:t>
      </w:r>
    </w:p>
    <w:p>
      <w:pPr>
        <w:ind w:left="504"/>
      </w:pPr>
      <w:r>
        <w:rPr>
          <w:b/>
          <w:color w:val="0000C0"/>
        </w:rPr>
        <w:t xml:space="preserve">[ATTORNEY REVIEW REQUIRED]  </w:t>
      </w:r>
      <w:r>
        <w:rPr>
          <w:i/>
          <w:color w:val="595959"/>
        </w:rPr>
        <w:t>The definitive documents must characterize RIVR Tech’s status (contractor vs. subrecipient) under 2 CFR 200.331 (Subrecipient and contractor determinations); the determination drives which compliance obligations flow down and how audit responsibility is allocated. This is a legal determination, not a labeling choice.</w:t>
      </w:r>
    </w:p>
    <w:p>
      <w:pPr>
        <w:pStyle w:val="Heading1"/>
        <w:spacing w:before="240" w:after="120"/>
      </w:pPr>
      <w:r>
        <w:rPr>
          <w:rFonts w:ascii="Calibri" w:hAnsi="Calibri"/>
          <w:b/>
          <w:color w:val="1F3864"/>
          <w:sz w:val="26"/>
        </w:rPr>
        <w:t>ARTICLE 5.  ASSET OWNERSHIP STRUCTURE</w:t>
      </w:r>
    </w:p>
    <w:p>
      <w:pPr>
        <w:pStyle w:val="Heading2"/>
        <w:spacing w:before="160" w:after="60"/>
      </w:pPr>
      <w:r>
        <w:rPr>
          <w:rFonts w:ascii="Calibri" w:hAnsi="Calibri"/>
          <w:b/>
          <w:color w:val="000000"/>
          <w:sz w:val="22"/>
        </w:rPr>
        <w:t>5.1  Three Asset Classes</w:t>
      </w:r>
    </w:p>
    <w:p>
      <w:r>
        <w:rPr>
          <w:b w:val="0"/>
          <w:i w:val="0"/>
        </w:rPr>
        <w:t>The Network is a hybrid of three asset classes, each with a distinct ownership and compliance profile. The Demarcation Point is the physical and legal boundary that separates them.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736"/>
            <w:shd w:val="clear" w:color="auto" w:fill="1F3864"/>
            <w:vAlign w:val="center"/>
          </w:tcPr>
          <w:p>
            <w:pPr>
              <w:jc w:val="center"/>
            </w:pPr>
            <w:r>
              <w:rPr>
                <w:b/>
                <w:color w:val="FFFFFF"/>
                <w:sz w:val="18"/>
              </w:rPr>
              <w:t>Asset Class</w:t>
            </w:r>
          </w:p>
        </w:tc>
        <w:tc>
          <w:tcPr>
            <w:tcW w:type="dxa" w:w="2016"/>
            <w:shd w:val="clear" w:color="auto" w:fill="1F3864"/>
            <w:vAlign w:val="center"/>
          </w:tcPr>
          <w:p>
            <w:pPr>
              <w:jc w:val="center"/>
            </w:pPr>
            <w:r>
              <w:rPr>
                <w:b/>
                <w:color w:val="FFFFFF"/>
                <w:sz w:val="18"/>
              </w:rPr>
              <w:t>Owner</w:t>
            </w:r>
          </w:p>
        </w:tc>
        <w:tc>
          <w:tcPr>
            <w:tcW w:type="dxa" w:w="2736"/>
            <w:shd w:val="clear" w:color="auto" w:fill="1F3864"/>
            <w:vAlign w:val="center"/>
          </w:tcPr>
          <w:p>
            <w:pPr>
              <w:jc w:val="center"/>
            </w:pPr>
            <w:r>
              <w:rPr>
                <w:b/>
                <w:color w:val="FFFFFF"/>
                <w:sz w:val="18"/>
              </w:rPr>
              <w:t>Funding Source</w:t>
            </w:r>
          </w:p>
        </w:tc>
        <w:tc>
          <w:tcPr>
            <w:tcW w:type="dxa" w:w="3312"/>
            <w:shd w:val="clear" w:color="auto" w:fill="1F3864"/>
            <w:vAlign w:val="center"/>
          </w:tcPr>
          <w:p>
            <w:pPr>
              <w:jc w:val="center"/>
            </w:pPr>
            <w:r>
              <w:rPr>
                <w:b/>
                <w:color w:val="FFFFFF"/>
                <w:sz w:val="18"/>
              </w:rPr>
              <w:t>Federal Interest / Compliance</w:t>
            </w:r>
          </w:p>
        </w:tc>
      </w:tr>
      <w:tr>
        <w:tc>
          <w:tcPr>
            <w:tcW w:type="dxa" w:w="2736"/>
            <w:vAlign w:val="center"/>
          </w:tcPr>
          <w:p>
            <w:r>
              <w:rPr>
                <w:b w:val="0"/>
                <w:i w:val="0"/>
                <w:sz w:val="18"/>
              </w:rPr>
              <w:t>Tribal Assets (Grant-Funded Infrastructure)</w:t>
            </w:r>
          </w:p>
        </w:tc>
        <w:tc>
          <w:tcPr>
            <w:tcW w:type="dxa" w:w="2016"/>
            <w:vAlign w:val="center"/>
          </w:tcPr>
          <w:p>
            <w:r>
              <w:rPr>
                <w:b w:val="0"/>
                <w:i w:val="0"/>
                <w:sz w:val="18"/>
              </w:rPr>
              <w:t>Lumbee Tribe</w:t>
            </w:r>
          </w:p>
        </w:tc>
        <w:tc>
          <w:tcPr>
            <w:tcW w:type="dxa" w:w="2736"/>
            <w:vAlign w:val="center"/>
          </w:tcPr>
          <w:p>
            <w:r>
              <w:rPr>
                <w:b w:val="0"/>
                <w:i w:val="0"/>
                <w:sz w:val="18"/>
              </w:rPr>
              <w:t>TBCP grant funds (</w:t>
            </w:r>
            <w:r>
              <w:rPr>
                <w:b w:val="0"/>
                <w:i w:val="0"/>
                <w:color w:val="804000"/>
                <w:sz w:val="18"/>
                <w:highlight w:val="yellow"/>
              </w:rPr>
              <w:t>[■ grant amount]</w:t>
            </w:r>
            <w:r>
              <w:rPr>
                <w:b w:val="0"/>
                <w:i w:val="0"/>
                <w:sz w:val="18"/>
              </w:rPr>
              <w:t>)</w:t>
            </w:r>
          </w:p>
        </w:tc>
        <w:tc>
          <w:tcPr>
            <w:tcW w:type="dxa" w:w="3312"/>
            <w:vAlign w:val="center"/>
          </w:tcPr>
          <w:p>
            <w:r>
              <w:rPr>
                <w:b w:val="0"/>
                <w:i w:val="0"/>
                <w:sz w:val="18"/>
              </w:rPr>
              <w:t>Federal Interest attaches; full 2 CFR Part 200 (Uniform Administrative Requirements, Cost Principles, and Audit Requirements for Federal Awards) disposition/audit rules apply</w:t>
            </w:r>
          </w:p>
        </w:tc>
      </w:tr>
      <w:tr>
        <w:tc>
          <w:tcPr>
            <w:tcW w:type="dxa" w:w="2736"/>
            <w:shd w:val="clear" w:color="auto" w:fill="F2F2F2"/>
            <w:vAlign w:val="center"/>
          </w:tcPr>
          <w:p>
            <w:r>
              <w:rPr>
                <w:b w:val="0"/>
                <w:i w:val="0"/>
                <w:sz w:val="18"/>
              </w:rPr>
              <w:t>RIVR Tech Assets (RIVR Tech Existing Network)</w:t>
            </w:r>
          </w:p>
        </w:tc>
        <w:tc>
          <w:tcPr>
            <w:tcW w:type="dxa" w:w="2016"/>
            <w:shd w:val="clear" w:color="auto" w:fill="F2F2F2"/>
            <w:vAlign w:val="center"/>
          </w:tcPr>
          <w:p>
            <w:r>
              <w:rPr>
                <w:b w:val="0"/>
                <w:i w:val="0"/>
                <w:sz w:val="18"/>
              </w:rPr>
              <w:t>RIVR Tech</w:t>
            </w:r>
          </w:p>
        </w:tc>
        <w:tc>
          <w:tcPr>
            <w:tcW w:type="dxa" w:w="2736"/>
            <w:shd w:val="clear" w:color="auto" w:fill="F2F2F2"/>
            <w:vAlign w:val="center"/>
          </w:tcPr>
          <w:p>
            <w:r>
              <w:rPr>
                <w:b w:val="0"/>
                <w:i w:val="0"/>
                <w:sz w:val="18"/>
              </w:rPr>
              <w:t>RIVR Tech private capital</w:t>
            </w:r>
          </w:p>
        </w:tc>
        <w:tc>
          <w:tcPr>
            <w:tcW w:type="dxa" w:w="3312"/>
            <w:shd w:val="clear" w:color="auto" w:fill="F2F2F2"/>
            <w:vAlign w:val="center"/>
          </w:tcPr>
          <w:p>
            <w:r>
              <w:rPr>
                <w:b w:val="0"/>
                <w:i w:val="0"/>
                <w:sz w:val="18"/>
              </w:rPr>
              <w:t>No Federal Interest; owned and controlled by RIVR Tech</w:t>
            </w:r>
          </w:p>
        </w:tc>
      </w:tr>
      <w:tr>
        <w:tc>
          <w:tcPr>
            <w:tcW w:type="dxa" w:w="2736"/>
            <w:vAlign w:val="center"/>
          </w:tcPr>
          <w:p>
            <w:r>
              <w:rPr>
                <w:b w:val="0"/>
                <w:i w:val="0"/>
                <w:sz w:val="18"/>
              </w:rPr>
              <w:t>Jointly Funded Assets</w:t>
            </w:r>
          </w:p>
        </w:tc>
        <w:tc>
          <w:tcPr>
            <w:tcW w:type="dxa" w:w="2016"/>
            <w:vAlign w:val="center"/>
          </w:tcPr>
          <w:p>
            <w:r>
              <w:rPr>
                <w:b w:val="0"/>
                <w:i w:val="0"/>
                <w:sz w:val="18"/>
              </w:rPr>
              <w:t xml:space="preserve">Allocated by contribution </w:t>
            </w:r>
            <w:r>
              <w:rPr>
                <w:b w:val="0"/>
                <w:i w:val="0"/>
                <w:color w:val="804000"/>
                <w:sz w:val="18"/>
                <w:highlight w:val="yellow"/>
              </w:rPr>
              <w:t>[■ ownership split methodology]</w:t>
            </w:r>
          </w:p>
        </w:tc>
        <w:tc>
          <w:tcPr>
            <w:tcW w:type="dxa" w:w="2736"/>
            <w:vAlign w:val="center"/>
          </w:tcPr>
          <w:p>
            <w:r>
              <w:rPr>
                <w:b w:val="0"/>
                <w:i w:val="0"/>
                <w:sz w:val="18"/>
              </w:rPr>
              <w:t>Mixed grant + private (if any)</w:t>
            </w:r>
          </w:p>
        </w:tc>
        <w:tc>
          <w:tcPr>
            <w:tcW w:type="dxa" w:w="3312"/>
            <w:vAlign w:val="center"/>
          </w:tcPr>
          <w:p>
            <w:r>
              <w:rPr>
                <w:b w:val="0"/>
                <w:i w:val="0"/>
                <w:sz w:val="18"/>
              </w:rPr>
              <w:t>Federal Interest attaches pro-rata to grant-funded portion; segregated accounting</w:t>
            </w:r>
          </w:p>
        </w:tc>
      </w:tr>
    </w:tbl>
    <w:p>
      <w:pPr>
        <w:pStyle w:val="Heading2"/>
        <w:spacing w:before="160" w:after="60"/>
      </w:pPr>
      <w:r>
        <w:rPr>
          <w:rFonts w:ascii="Calibri" w:hAnsi="Calibri"/>
          <w:b/>
          <w:color w:val="000000"/>
          <w:sz w:val="22"/>
        </w:rPr>
        <w:t>5.2  Demarcation Discipline</w:t>
      </w:r>
    </w:p>
    <w:p>
      <w:r>
        <w:rPr>
          <w:b w:val="0"/>
          <w:i w:val="0"/>
        </w:rPr>
        <w:t>A written, as-built Demarcation Point schedule will identify, at each interconnection, the exact panel, port, splice, handhole, or rack unit at which Tribal Assets end and RIVR Tech Assets begin. This schedule governs Federal-Interest scope, insurance, maintenance responsibility, and disposition. It is maintained as a controlled document and updated as-built.</w:t>
      </w:r>
    </w:p>
    <w:p>
      <w:pPr>
        <w:ind w:left="504"/>
      </w:pPr>
      <w:r>
        <w:rPr>
          <w:b/>
          <w:color w:val="007000"/>
        </w:rPr>
        <w:t xml:space="preserve">[TECHNICAL INFORMATION REQUIRED]  </w:t>
      </w:r>
      <w:r>
        <w:rPr>
          <w:i/>
          <w:color w:val="595959"/>
        </w:rPr>
        <w:t>The precise physical demarcation points, fiber counts on each side, and the interconnection method are to be fixed in the final network design. [■ demarcation schedule: sites, panels/ports, fiber counts, GPS coordinates].</w:t>
      </w:r>
    </w:p>
    <w:p>
      <w:pPr>
        <w:pStyle w:val="Heading2"/>
        <w:spacing w:before="160" w:after="60"/>
      </w:pPr>
      <w:r>
        <w:rPr>
          <w:rFonts w:ascii="Calibri" w:hAnsi="Calibri"/>
          <w:b/>
          <w:color w:val="000000"/>
          <w:sz w:val="22"/>
        </w:rPr>
        <w:t>5.3  Title, Encumbrance, and Disposition</w:t>
      </w:r>
    </w:p>
    <w:p>
      <w:r>
        <w:rPr>
          <w:b w:val="0"/>
          <w:i w:val="0"/>
        </w:rPr>
        <w:t>Title to the Tribal Assets vests in the Lumbee Tribe upon acquisition/installation and remains with the Lumbee Tribe. The IRU is a right of use, not a conveyance of title. Any encumbrance, lien, sale, or disposition of Tribal Assets is subject to 2 CFR 200.311 (Real property — use, encumbrance, and disposition) and 2 CFR 200.313 (Equipment — use, management, and disposition) and requires NTIA approval during the Federal-Interest period.</w:t>
      </w:r>
    </w:p>
    <w:p>
      <w:pPr>
        <w:ind w:left="504"/>
      </w:pPr>
      <w:r>
        <w:rPr>
          <w:b/>
          <w:color w:val="7F007F"/>
        </w:rPr>
        <w:t xml:space="preserve">[GRANT COMPLIANCE REVIEW REQUIRED]  </w:t>
      </w:r>
      <w:r>
        <w:rPr>
          <w:i/>
          <w:color w:val="595959"/>
        </w:rPr>
        <w:t>Any lender collateral assignment of the IRU or leasehold-style financing by RIVR Tech must be reconciled with the prohibition on encumbering federally funded property without NTIA consent.</w:t>
      </w:r>
    </w:p>
    <w:p>
      <w:pPr>
        <w:pStyle w:val="Heading1"/>
        <w:spacing w:before="240" w:after="120"/>
      </w:pPr>
      <w:r>
        <w:rPr>
          <w:rFonts w:ascii="Calibri" w:hAnsi="Calibri"/>
          <w:b/>
          <w:color w:val="1F3864"/>
          <w:sz w:val="26"/>
        </w:rPr>
        <w:t>ARTICLE 6.  IRU STRUCTURE — TERM, RENEWAL, AND RECOMMENDATION</w:t>
      </w:r>
    </w:p>
    <w:p>
      <w:pPr>
        <w:pStyle w:val="Heading2"/>
        <w:spacing w:before="160" w:after="60"/>
      </w:pPr>
      <w:r>
        <w:rPr>
          <w:rFonts w:ascii="Calibri" w:hAnsi="Calibri"/>
          <w:b/>
          <w:color w:val="000000"/>
          <w:sz w:val="22"/>
        </w:rPr>
        <w:t>6.1  Nature of the IRU</w:t>
      </w:r>
    </w:p>
    <w:p>
      <w:r>
        <w:rPr>
          <w:b w:val="0"/>
          <w:i w:val="0"/>
        </w:rPr>
        <w:t>The Lumbee Tribe grants RIVR Tech an indefeasible right to use, operate, manage, and commercialize the Tribal Assets and the resulting Network for the IRU term, subject to the Lumbee Tribe’s retained title, reserved capacity, and the Award. The IRU is exclusive as to commercial operation but subject to the Lumbee Tribe’s reserved fiber and government-use rights (Article 15) and to step-in rights (Article 18).</w:t>
      </w:r>
    </w:p>
    <w:p>
      <w:pPr>
        <w:pStyle w:val="Heading2"/>
        <w:spacing w:before="160" w:after="60"/>
      </w:pPr>
      <w:r>
        <w:rPr>
          <w:rFonts w:ascii="Calibri" w:hAnsi="Calibri"/>
          <w:b/>
          <w:color w:val="000000"/>
          <w:sz w:val="22"/>
        </w:rPr>
        <w:t>6.2  Term Alternatives Modeled</w:t>
      </w:r>
    </w:p>
    <w:p>
      <w:r>
        <w:rPr>
          <w:b w:val="0"/>
          <w:i w:val="0"/>
        </w:rPr>
        <w:t>Three IRU terms were modeled. The economics and Federal-Interest exposure differ; the longer the term, the greater RIVR Tech’s incentive to invest and the lower the annualized cost of capital, balanced against Tribal flexibility.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color="auto" w:fill="1F3864"/>
            <w:vAlign w:val="center"/>
          </w:tcPr>
          <w:p>
            <w:pPr>
              <w:jc w:val="center"/>
            </w:pPr>
            <w:r>
              <w:rPr>
                <w:b/>
                <w:color w:val="FFFFFF"/>
                <w:sz w:val="18"/>
              </w:rPr>
              <w:t>Alternative</w:t>
            </w:r>
          </w:p>
        </w:tc>
        <w:tc>
          <w:tcPr>
            <w:tcW w:type="dxa" w:w="1728"/>
            <w:shd w:val="clear" w:color="auto" w:fill="1F3864"/>
            <w:vAlign w:val="center"/>
          </w:tcPr>
          <w:p>
            <w:pPr>
              <w:jc w:val="center"/>
            </w:pPr>
            <w:r>
              <w:rPr>
                <w:b/>
                <w:color w:val="FFFFFF"/>
                <w:sz w:val="18"/>
              </w:rPr>
              <w:t>Initial Term</w:t>
            </w:r>
          </w:p>
        </w:tc>
        <w:tc>
          <w:tcPr>
            <w:tcW w:type="dxa" w:w="2880"/>
            <w:shd w:val="clear" w:color="auto" w:fill="1F3864"/>
            <w:vAlign w:val="center"/>
          </w:tcPr>
          <w:p>
            <w:pPr>
              <w:jc w:val="center"/>
            </w:pPr>
            <w:r>
              <w:rPr>
                <w:b/>
                <w:color w:val="FFFFFF"/>
                <w:sz w:val="18"/>
              </w:rPr>
              <w:t>Renewals</w:t>
            </w:r>
          </w:p>
        </w:tc>
        <w:tc>
          <w:tcPr>
            <w:tcW w:type="dxa" w:w="4320"/>
            <w:shd w:val="clear" w:color="auto" w:fill="1F3864"/>
            <w:vAlign w:val="center"/>
          </w:tcPr>
          <w:p>
            <w:pPr>
              <w:jc w:val="center"/>
            </w:pPr>
            <w:r>
              <w:rPr>
                <w:b/>
                <w:color w:val="FFFFFF"/>
                <w:sz w:val="18"/>
              </w:rPr>
              <w:t>Assessment</w:t>
            </w:r>
          </w:p>
        </w:tc>
      </w:tr>
      <w:tr>
        <w:tc>
          <w:tcPr>
            <w:tcW w:type="dxa" w:w="1872"/>
            <w:vAlign w:val="center"/>
          </w:tcPr>
          <w:p>
            <w:pPr>
              <w:jc w:val="center"/>
            </w:pPr>
            <w:r>
              <w:rPr>
                <w:b w:val="0"/>
                <w:i w:val="0"/>
                <w:sz w:val="18"/>
              </w:rPr>
              <w:t>Alt. 1</w:t>
            </w:r>
          </w:p>
        </w:tc>
        <w:tc>
          <w:tcPr>
            <w:tcW w:type="dxa" w:w="1728"/>
            <w:vAlign w:val="center"/>
          </w:tcPr>
          <w:p>
            <w:pPr>
              <w:jc w:val="center"/>
            </w:pPr>
            <w:r>
              <w:rPr>
                <w:b w:val="0"/>
                <w:i w:val="0"/>
                <w:sz w:val="18"/>
              </w:rPr>
              <w:t>20 years</w:t>
            </w:r>
          </w:p>
        </w:tc>
        <w:tc>
          <w:tcPr>
            <w:tcW w:type="dxa" w:w="2880"/>
            <w:vAlign w:val="center"/>
          </w:tcPr>
          <w:p>
            <w:r>
              <w:rPr>
                <w:b w:val="0"/>
                <w:i w:val="0"/>
                <w:sz w:val="18"/>
              </w:rPr>
              <w:t>two (2) renewal terms of ten (10) years each</w:t>
            </w:r>
          </w:p>
        </w:tc>
        <w:tc>
          <w:tcPr>
            <w:tcW w:type="dxa" w:w="4320"/>
            <w:vAlign w:val="center"/>
          </w:tcPr>
          <w:p>
            <w:r>
              <w:rPr>
                <w:b w:val="0"/>
                <w:i w:val="0"/>
                <w:sz w:val="18"/>
              </w:rPr>
              <w:t>Shortest; maximum Tribal flexibility; highest annualized operator return required; weakest investment incentive</w:t>
            </w:r>
          </w:p>
        </w:tc>
      </w:tr>
      <w:tr>
        <w:tc>
          <w:tcPr>
            <w:tcW w:type="dxa" w:w="1872"/>
            <w:shd w:val="clear" w:color="auto" w:fill="F2F2F2"/>
            <w:vAlign w:val="center"/>
          </w:tcPr>
          <w:p>
            <w:pPr>
              <w:jc w:val="center"/>
            </w:pPr>
            <w:r>
              <w:rPr>
                <w:b w:val="0"/>
                <w:i w:val="0"/>
                <w:sz w:val="18"/>
              </w:rPr>
              <w:t>Alt. 2</w:t>
            </w:r>
          </w:p>
        </w:tc>
        <w:tc>
          <w:tcPr>
            <w:tcW w:type="dxa" w:w="1728"/>
            <w:shd w:val="clear" w:color="auto" w:fill="F2F2F2"/>
            <w:vAlign w:val="center"/>
          </w:tcPr>
          <w:p>
            <w:pPr>
              <w:jc w:val="center"/>
            </w:pPr>
            <w:r>
              <w:rPr>
                <w:b w:val="0"/>
                <w:i w:val="0"/>
                <w:sz w:val="18"/>
              </w:rPr>
              <w:t>25 years</w:t>
            </w:r>
          </w:p>
        </w:tc>
        <w:tc>
          <w:tcPr>
            <w:tcW w:type="dxa" w:w="2880"/>
            <w:shd w:val="clear" w:color="auto" w:fill="F2F2F2"/>
            <w:vAlign w:val="center"/>
          </w:tcPr>
          <w:p>
            <w:r>
              <w:rPr>
                <w:b w:val="0"/>
                <w:i w:val="0"/>
                <w:sz w:val="18"/>
              </w:rPr>
              <w:t>two (2) renewal terms of ten (10) years each</w:t>
            </w:r>
          </w:p>
        </w:tc>
        <w:tc>
          <w:tcPr>
            <w:tcW w:type="dxa" w:w="4320"/>
            <w:shd w:val="clear" w:color="auto" w:fill="F2F2F2"/>
            <w:vAlign w:val="center"/>
          </w:tcPr>
          <w:p>
            <w:r>
              <w:rPr>
                <w:b w:val="0"/>
                <w:i w:val="0"/>
                <w:sz w:val="18"/>
              </w:rPr>
              <w:t>Balanced; aligns with typical fiber depreciation life; moderate flexibility</w:t>
            </w:r>
          </w:p>
        </w:tc>
      </w:tr>
      <w:tr>
        <w:tc>
          <w:tcPr>
            <w:tcW w:type="dxa" w:w="1872"/>
            <w:vAlign w:val="center"/>
          </w:tcPr>
          <w:p>
            <w:pPr>
              <w:jc w:val="center"/>
            </w:pPr>
            <w:r>
              <w:rPr>
                <w:b w:val="0"/>
                <w:i w:val="0"/>
                <w:sz w:val="18"/>
              </w:rPr>
              <w:t>Alt. 3 (recommended)</w:t>
            </w:r>
          </w:p>
        </w:tc>
        <w:tc>
          <w:tcPr>
            <w:tcW w:type="dxa" w:w="1728"/>
            <w:vAlign w:val="center"/>
          </w:tcPr>
          <w:p>
            <w:pPr>
              <w:jc w:val="center"/>
            </w:pPr>
            <w:r>
              <w:rPr>
                <w:b w:val="0"/>
                <w:i w:val="0"/>
                <w:sz w:val="18"/>
              </w:rPr>
              <w:t>30 years</w:t>
            </w:r>
          </w:p>
        </w:tc>
        <w:tc>
          <w:tcPr>
            <w:tcW w:type="dxa" w:w="2880"/>
            <w:vAlign w:val="center"/>
          </w:tcPr>
          <w:p>
            <w:r>
              <w:rPr>
                <w:b w:val="0"/>
                <w:i w:val="0"/>
                <w:sz w:val="18"/>
              </w:rPr>
              <w:t>two (2) renewal terms of ten (10) years each</w:t>
            </w:r>
          </w:p>
        </w:tc>
        <w:tc>
          <w:tcPr>
            <w:tcW w:type="dxa" w:w="4320"/>
            <w:vAlign w:val="center"/>
          </w:tcPr>
          <w:p>
            <w:r>
              <w:rPr>
                <w:b w:val="0"/>
                <w:i w:val="0"/>
                <w:sz w:val="18"/>
              </w:rPr>
              <w:t>Longest initial term; strongest investment incentive and lowest annualized cost; matches long-life fiber assets; requires robust step-in and mid-term review</w:t>
            </w:r>
          </w:p>
        </w:tc>
      </w:tr>
    </w:tbl>
    <w:p>
      <w:r>
        <w:rPr>
          <w:b/>
          <w:i w:val="0"/>
        </w:rPr>
        <w:t>Recommendation: adopt a 30-year initial term with two (2) renewal terms of ten (10) years each. A 30-year term best matches the physical and economic life of fiber plant, secures RIVR Tech’s long-term investment, and lowers the return the operator must charge — improving the revenue share available to the Lumbee Tribe — while renewals and step-in rights preserve Tribal control.</w:t>
      </w:r>
    </w:p>
    <w:p>
      <w:pPr>
        <w:pStyle w:val="Heading2"/>
        <w:spacing w:before="160" w:after="60"/>
      </w:pPr>
      <w:r>
        <w:rPr>
          <w:rFonts w:ascii="Calibri" w:hAnsi="Calibri"/>
          <w:b/>
          <w:color w:val="000000"/>
          <w:sz w:val="22"/>
        </w:rPr>
        <w:t>6.3  Consideration for the IRU</w:t>
      </w:r>
    </w:p>
    <w:p>
      <w:r>
        <w:rPr>
          <w:b w:val="0"/>
          <w:i w:val="0"/>
        </w:rPr>
        <w:t>The IRU consideration is one dollar ($1.00) and other good and valuable consideration, plus the operating, maintenance, and revenue-sharing obligations set forth herein. The economic core of the bargain is the bundle of construction, operating, maintenance, capital-at-risk, and revenue-sharing obligations, not a lump-sum purchase price.</w:t>
      </w:r>
    </w:p>
    <w:p>
      <w:pPr>
        <w:ind w:left="504"/>
      </w:pPr>
      <w:r>
        <w:rPr>
          <w:b/>
          <w:color w:val="C00000"/>
        </w:rPr>
        <w:t xml:space="preserve">[BUSINESS DECISION REQUIRED]  </w:t>
      </w:r>
      <w:r>
        <w:rPr>
          <w:i/>
          <w:color w:val="595959"/>
        </w:rPr>
        <w:t>Whether any up-front IRU payment is made to the Lumbee Tribe at closing, and its amount, is an open commercial term. [■ up-front IRU payment, if any].</w:t>
      </w:r>
    </w:p>
    <w:p>
      <w:pPr>
        <w:ind w:left="504"/>
      </w:pPr>
      <w:r>
        <w:rPr>
          <w:b/>
          <w:color w:val="0000C0"/>
        </w:rPr>
        <w:t xml:space="preserve">[ATTORNEY REVIEW REQUIRED]  </w:t>
      </w:r>
      <w:r>
        <w:rPr>
          <w:i/>
          <w:color w:val="595959"/>
        </w:rPr>
        <w:t>An IRU term (plus renewals) that could approach or exceed the useful life or the Federal-Interest period must be checked against 2 CFR 200.313 (Equipment — use, management, and disposition) and Award terms so that it is not recharacterized as a disposition of federally funded property. Renewal exercise during the Federal-Interest period may require NTIA notice or consent.</w:t>
      </w:r>
    </w:p>
    <w:p>
      <w:pPr>
        <w:pStyle w:val="Heading1"/>
        <w:spacing w:before="240" w:after="120"/>
      </w:pPr>
      <w:r>
        <w:rPr>
          <w:rFonts w:ascii="Calibri" w:hAnsi="Calibri"/>
          <w:b/>
          <w:color w:val="1F3864"/>
          <w:sz w:val="26"/>
        </w:rPr>
        <w:t>ARTICLE 7.  OPERATING MODEL</w:t>
      </w:r>
    </w:p>
    <w:p>
      <w:pPr>
        <w:pStyle w:val="Heading2"/>
        <w:spacing w:before="160" w:after="60"/>
      </w:pPr>
      <w:r>
        <w:rPr>
          <w:rFonts w:ascii="Calibri" w:hAnsi="Calibri"/>
          <w:b/>
          <w:color w:val="000000"/>
          <w:sz w:val="22"/>
        </w:rPr>
        <w:t>7.1  Operator Responsibility</w:t>
      </w:r>
    </w:p>
    <w:p>
      <w:r>
        <w:rPr>
          <w:b w:val="0"/>
          <w:i w:val="0"/>
        </w:rPr>
        <w:t>RIVR Tech operates the Network as a single integrated system, blending the Tribal Assets with the RIVR Tech Existing Network to deliver end-to-end services. RIVR Tech staffs and runs the Network Operations Center (24 hours per day, 7 days per week, 365 days per year), performs monitoring, provisioning, fault management, and field operations, and is accountable for network performance.</w:t>
      </w:r>
    </w:p>
    <w:p>
      <w:pPr>
        <w:pStyle w:val="Heading2"/>
        <w:spacing w:before="160" w:after="60"/>
      </w:pPr>
      <w:r>
        <w:rPr>
          <w:rFonts w:ascii="Calibri" w:hAnsi="Calibri"/>
          <w:b/>
          <w:color w:val="000000"/>
          <w:sz w:val="22"/>
        </w:rPr>
        <w:t>7.2  Service-Level Framework</w:t>
      </w:r>
    </w:p>
    <w:p>
      <w:r>
        <w:rPr>
          <w:b w:val="0"/>
          <w:i w:val="0"/>
        </w:rPr>
        <w:t>Operations are governed by an SLA with severity-based response, dispatch, and restoration targets and a network-availability commitment. The canonical targets are:</w:t>
      </w:r>
    </w:p>
    <w:tbl>
      <w:tblPr>
        <w:tblStyle w:val="TableGrid"/>
        <w:tblW w:type="auto" w:w="0"/>
        <w:jc w:val="center"/>
        <w:tblLook w:firstColumn="1" w:firstRow="1" w:lastColumn="0" w:lastRow="0" w:noHBand="0" w:noVBand="1" w:val="04A0"/>
      </w:tblPr>
      <w:tblGrid>
        <w:gridCol w:w="4680"/>
        <w:gridCol w:w="4680"/>
      </w:tblGrid>
      <w:tr>
        <w:tc>
          <w:tcPr>
            <w:tcW w:type="dxa" w:w="4896"/>
            <w:shd w:val="clear" w:color="auto" w:fill="1F3864"/>
            <w:vAlign w:val="center"/>
          </w:tcPr>
          <w:p>
            <w:pPr>
              <w:jc w:val="center"/>
            </w:pPr>
            <w:r>
              <w:rPr>
                <w:b/>
                <w:color w:val="FFFFFF"/>
                <w:sz w:val="18"/>
              </w:rPr>
              <w:t>Metric</w:t>
            </w:r>
          </w:p>
        </w:tc>
        <w:tc>
          <w:tcPr>
            <w:tcW w:type="dxa" w:w="5184"/>
            <w:shd w:val="clear" w:color="auto" w:fill="1F3864"/>
            <w:vAlign w:val="center"/>
          </w:tcPr>
          <w:p>
            <w:pPr>
              <w:jc w:val="center"/>
            </w:pPr>
            <w:r>
              <w:rPr>
                <w:b/>
                <w:color w:val="FFFFFF"/>
                <w:sz w:val="18"/>
              </w:rPr>
              <w:t>Target</w:t>
            </w:r>
          </w:p>
        </w:tc>
      </w:tr>
      <w:tr>
        <w:tc>
          <w:tcPr>
            <w:tcW w:type="dxa" w:w="4896"/>
            <w:vAlign w:val="center"/>
          </w:tcPr>
          <w:p>
            <w:r>
              <w:rPr>
                <w:b w:val="0"/>
                <w:i w:val="0"/>
                <w:sz w:val="18"/>
              </w:rPr>
              <w:t>Network availability</w:t>
            </w:r>
          </w:p>
        </w:tc>
        <w:tc>
          <w:tcPr>
            <w:tcW w:type="dxa" w:w="5184"/>
            <w:vAlign w:val="center"/>
          </w:tcPr>
          <w:p>
            <w:r>
              <w:rPr>
                <w:b w:val="0"/>
                <w:i w:val="0"/>
                <w:sz w:val="18"/>
              </w:rPr>
              <w:t>99.9%</w:t>
            </w:r>
          </w:p>
        </w:tc>
      </w:tr>
      <w:tr>
        <w:tc>
          <w:tcPr>
            <w:tcW w:type="dxa" w:w="4896"/>
            <w:shd w:val="clear" w:color="auto" w:fill="F2F2F2"/>
            <w:vAlign w:val="center"/>
          </w:tcPr>
          <w:p>
            <w:r>
              <w:rPr>
                <w:b w:val="0"/>
                <w:i w:val="0"/>
                <w:sz w:val="18"/>
              </w:rPr>
              <w:t>P1 (critical) response / dispatch / restore</w:t>
            </w:r>
          </w:p>
        </w:tc>
        <w:tc>
          <w:tcPr>
            <w:tcW w:type="dxa" w:w="5184"/>
            <w:shd w:val="clear" w:color="auto" w:fill="F2F2F2"/>
            <w:vAlign w:val="center"/>
          </w:tcPr>
          <w:p>
            <w:r>
              <w:rPr>
                <w:b w:val="0"/>
                <w:i w:val="0"/>
                <w:sz w:val="18"/>
              </w:rPr>
              <w:t>15 min / 2 hr / 8 hr</w:t>
            </w:r>
          </w:p>
        </w:tc>
      </w:tr>
      <w:tr>
        <w:tc>
          <w:tcPr>
            <w:tcW w:type="dxa" w:w="4896"/>
            <w:vAlign w:val="center"/>
          </w:tcPr>
          <w:p>
            <w:r>
              <w:rPr>
                <w:b w:val="0"/>
                <w:i w:val="0"/>
                <w:sz w:val="18"/>
              </w:rPr>
              <w:t>P2 (major) response / dispatch / restore</w:t>
            </w:r>
          </w:p>
        </w:tc>
        <w:tc>
          <w:tcPr>
            <w:tcW w:type="dxa" w:w="5184"/>
            <w:vAlign w:val="center"/>
          </w:tcPr>
          <w:p>
            <w:r>
              <w:rPr>
                <w:b w:val="0"/>
                <w:i w:val="0"/>
                <w:sz w:val="18"/>
              </w:rPr>
              <w:t>30 min / 4 hr / 24 hr</w:t>
            </w:r>
          </w:p>
        </w:tc>
      </w:tr>
      <w:tr>
        <w:tc>
          <w:tcPr>
            <w:tcW w:type="dxa" w:w="4896"/>
            <w:shd w:val="clear" w:color="auto" w:fill="F2F2F2"/>
            <w:vAlign w:val="center"/>
          </w:tcPr>
          <w:p>
            <w:r>
              <w:rPr>
                <w:b w:val="0"/>
                <w:i w:val="0"/>
                <w:sz w:val="18"/>
              </w:rPr>
              <w:t>P3 (minor) response / dispatch / restore</w:t>
            </w:r>
          </w:p>
        </w:tc>
        <w:tc>
          <w:tcPr>
            <w:tcW w:type="dxa" w:w="5184"/>
            <w:shd w:val="clear" w:color="auto" w:fill="F2F2F2"/>
            <w:vAlign w:val="center"/>
          </w:tcPr>
          <w:p>
            <w:r>
              <w:rPr>
                <w:b w:val="0"/>
                <w:i w:val="0"/>
                <w:sz w:val="18"/>
              </w:rPr>
              <w:t>4 hr / 24 hr / 5 days</w:t>
            </w:r>
          </w:p>
        </w:tc>
      </w:tr>
      <w:tr>
        <w:tc>
          <w:tcPr>
            <w:tcW w:type="dxa" w:w="4896"/>
            <w:vAlign w:val="center"/>
          </w:tcPr>
          <w:p>
            <w:r>
              <w:rPr>
                <w:b w:val="0"/>
                <w:i w:val="0"/>
                <w:sz w:val="18"/>
              </w:rPr>
              <w:t>Latency / packet loss / jitter</w:t>
            </w:r>
          </w:p>
        </w:tc>
        <w:tc>
          <w:tcPr>
            <w:tcW w:type="dxa" w:w="5184"/>
            <w:vAlign w:val="center"/>
          </w:tcPr>
          <w:p>
            <w:r>
              <w:rPr>
                <w:b w:val="0"/>
                <w:i w:val="0"/>
                <w:sz w:val="18"/>
              </w:rPr>
              <w:t>≤ 100 ms / ≤ 0.1% / ≤ 30 ms</w:t>
            </w:r>
          </w:p>
        </w:tc>
      </w:tr>
    </w:tbl>
    <w:p>
      <w:r>
        <w:rPr>
          <w:b w:val="0"/>
          <w:i w:val="0"/>
        </w:rPr>
        <w:t>Detailed SLA definitions, measurement methods, and remedies (credits/escalation) are set out in the O&amp;M Agreement and its SLA exhibit.</w:t>
      </w:r>
    </w:p>
    <w:p>
      <w:pPr>
        <w:ind w:left="504"/>
      </w:pPr>
      <w:r>
        <w:rPr>
          <w:b/>
          <w:color w:val="C00000"/>
        </w:rPr>
        <w:t xml:space="preserve">[BUSINESS DECISION REQUIRED]  </w:t>
      </w:r>
      <w:r>
        <w:rPr>
          <w:i/>
          <w:color w:val="595959"/>
        </w:rPr>
        <w:t>SLA credits, chronic-failure thresholds, and any performance-linked adjustment to the revenue share are open commercial terms.</w:t>
      </w:r>
    </w:p>
    <w:p>
      <w:pPr>
        <w:pStyle w:val="Heading1"/>
        <w:spacing w:before="240" w:after="120"/>
      </w:pPr>
      <w:r>
        <w:rPr>
          <w:rFonts w:ascii="Calibri" w:hAnsi="Calibri"/>
          <w:b/>
          <w:color w:val="1F3864"/>
          <w:sz w:val="26"/>
        </w:rPr>
        <w:t>ARTICLE 8.  CONSTRUCTION MODEL</w:t>
      </w:r>
    </w:p>
    <w:p>
      <w:pPr>
        <w:pStyle w:val="Heading2"/>
        <w:spacing w:before="160" w:after="60"/>
      </w:pPr>
      <w:r>
        <w:rPr>
          <w:rFonts w:ascii="Calibri" w:hAnsi="Calibri"/>
          <w:b/>
          <w:color w:val="000000"/>
          <w:sz w:val="22"/>
        </w:rPr>
        <w:t>8.1  Design-Build Delivery</w:t>
      </w:r>
    </w:p>
    <w:p>
      <w:r>
        <w:rPr>
          <w:b w:val="0"/>
          <w:i w:val="0"/>
        </w:rPr>
        <w:t>RIVR Tech delivers the Grant-Funded Infrastructure under a design-build model: final engineering, procurement, construction, splicing, testing, and activation, to an agreed scope, schedule, and acceptance standard. Assets are built to the Lumbee Tribe’s account and titled to the Lumbee Tribe as installed.</w:t>
      </w:r>
    </w:p>
    <w:p>
      <w:pPr>
        <w:pStyle w:val="Heading2"/>
        <w:spacing w:before="160" w:after="60"/>
      </w:pPr>
      <w:r>
        <w:rPr>
          <w:rFonts w:ascii="Calibri" w:hAnsi="Calibri"/>
          <w:b/>
          <w:color w:val="000000"/>
          <w:sz w:val="22"/>
        </w:rPr>
        <w:t>8.2  Grant-Compliant Procurement and Materials</w:t>
      </w:r>
    </w:p>
    <w:p>
      <w:r>
        <w:rPr>
          <w:b w:val="0"/>
          <w:i w:val="0"/>
        </w:rPr>
        <w:t>Because construction is funded by the Award, procurement and materials must comply with federal requirements even though RIVR Tech performs the work:</w:t>
      </w:r>
    </w:p>
    <w:p>
      <w:pPr>
        <w:pStyle w:val="ListBullet"/>
      </w:pPr>
      <w:r>
        <w:rPr>
          <w:b w:val="0"/>
          <w:i w:val="0"/>
        </w:rPr>
        <w:t>Procurement standards and competition: 2 CFR 200.317–200.327 (Procurement standards), 2 CFR 200.319 (Competition), 2 CFR 200.320 (Methods of procurement).</w:t>
      </w:r>
    </w:p>
    <w:p>
      <w:pPr>
        <w:pStyle w:val="ListBullet"/>
      </w:pPr>
      <w:r>
        <w:rPr>
          <w:b w:val="0"/>
          <w:i w:val="0"/>
        </w:rPr>
        <w:t>Build America, Buy America: Build America, Buy America Act, IIJA §§ 70911–70917 (Pub. L. 117-58); 2 CFR Part 184; and NTIA BABA award terms — iron, steel, manufactured products, and construction materials must meet BABA unless a waiver applies.</w:t>
      </w:r>
    </w:p>
    <w:p>
      <w:pPr>
        <w:pStyle w:val="ListBullet"/>
      </w:pPr>
      <w:r>
        <w:rPr>
          <w:b w:val="0"/>
          <w:i w:val="0"/>
        </w:rPr>
        <w:t>Covered-equipment prohibition: 2 CFR 200.216 (Prohibition on certain telecommunications and video surveillance — §889 covered equipment) (§889).</w:t>
      </w:r>
    </w:p>
    <w:p>
      <w:pPr>
        <w:pStyle w:val="ListBullet"/>
      </w:pPr>
      <w:r>
        <w:rPr>
          <w:b w:val="0"/>
          <w:i w:val="0"/>
        </w:rPr>
        <w:t>Domestic preference and conflict-of-interest rules: 2 CFR 200.322 (Domestic preferences for procurements), 2 CFR 200.318(c) and 2 CFR 200.112 (Conflict of interest).</w:t>
      </w:r>
    </w:p>
    <w:p>
      <w:pPr>
        <w:pStyle w:val="Heading2"/>
        <w:spacing w:before="160" w:after="60"/>
      </w:pPr>
      <w:r>
        <w:rPr>
          <w:rFonts w:ascii="Calibri" w:hAnsi="Calibri"/>
          <w:b/>
          <w:color w:val="000000"/>
          <w:sz w:val="22"/>
        </w:rPr>
        <w:t>8.3  Environmental and Historic Review</w:t>
      </w:r>
    </w:p>
    <w:p>
      <w:r>
        <w:rPr>
          <w:b w:val="0"/>
          <w:i w:val="0"/>
        </w:rPr>
        <w:t>Construction may not begin on affected segments until required environmental and historic-preservation review is complete: National Environmental Policy Act (NEPA), 42 U.S.C. § 4321 et seq., and DOC/NTIA implementing procedures and National Historic Preservation Act § 106, 54 U.S.C. § 306108 (36 CFR Part 800). The Lumbee Tribe (as recipient) is responsible to NTIA; RIVR Tech supports the reviews and honors any conditions, including Tribal Historic Preservation consultation.</w:t>
      </w:r>
    </w:p>
    <w:p>
      <w:pPr>
        <w:pStyle w:val="Heading2"/>
        <w:spacing w:before="160" w:after="60"/>
      </w:pPr>
      <w:r>
        <w:rPr>
          <w:rFonts w:ascii="Calibri" w:hAnsi="Calibri"/>
          <w:b/>
          <w:color w:val="000000"/>
          <w:sz w:val="22"/>
        </w:rPr>
        <w:t>8.4  Testing and Acceptance</w:t>
      </w:r>
    </w:p>
    <w:p>
      <w:r>
        <w:rPr>
          <w:b w:val="0"/>
          <w:i w:val="0"/>
        </w:rPr>
        <w:t>Completed plant is accepted against optical and functional standards before the asset is placed in service and before the corresponding IRU operating rights attach. Acceptance testing uses bi-directional OTDR at 1310 nm and 1550 nm with splice loss ≤ 0.10 dB (average) / 0.30 dB (maximum) per fusion splice and connector loss ≤ 0.50 dB per mated connector pair.</w:t>
      </w:r>
    </w:p>
    <w:p>
      <w:pPr>
        <w:ind w:left="504"/>
      </w:pPr>
      <w:r>
        <w:rPr>
          <w:b/>
          <w:color w:val="007000"/>
        </w:rPr>
        <w:t xml:space="preserve">[TECHNICAL INFORMATION REQUIRED]  </w:t>
      </w:r>
      <w:r>
        <w:rPr>
          <w:i/>
          <w:color w:val="595959"/>
        </w:rPr>
        <w:t>Final route miles, fiber counts, homes/locations passed, and the construction schedule are to be fixed in the design. [■ route miles, fiber counts, locations passed, milestone schedule].</w:t>
      </w:r>
    </w:p>
    <w:p>
      <w:pPr>
        <w:pStyle w:val="Heading1"/>
        <w:spacing w:before="240" w:after="120"/>
      </w:pPr>
      <w:r>
        <w:rPr>
          <w:rFonts w:ascii="Calibri" w:hAnsi="Calibri"/>
          <w:b/>
          <w:color w:val="1F3864"/>
          <w:sz w:val="26"/>
        </w:rPr>
        <w:t>ARTICLE 9.  CUSTOMER RELATIONSHIP MODEL</w:t>
      </w:r>
    </w:p>
    <w:p>
      <w:pPr>
        <w:pStyle w:val="Heading2"/>
        <w:spacing w:before="160" w:after="60"/>
      </w:pPr>
      <w:r>
        <w:rPr>
          <w:rFonts w:ascii="Calibri" w:hAnsi="Calibri"/>
          <w:b/>
          <w:color w:val="000000"/>
          <w:sz w:val="22"/>
        </w:rPr>
        <w:t>9.1  Retail Relationship Owned by RIVR Tech</w:t>
      </w:r>
    </w:p>
    <w:p>
      <w:r>
        <w:rPr>
          <w:b w:val="0"/>
          <w:i w:val="0"/>
        </w:rPr>
        <w:t>RIVR Tech owns the retail relationship with residential, business, and enterprise subscribers: service offers, provisioning, support, and contracts are between RIVR Tech and the end user. RIVR Tech is the service provider of record and holds any required authorizations.</w:t>
      </w:r>
    </w:p>
    <w:p>
      <w:pPr>
        <w:pStyle w:val="ListBullet"/>
      </w:pPr>
      <w:r>
        <w:rPr>
          <w:b w:val="0"/>
          <w:i w:val="0"/>
        </w:rPr>
        <w:t>RIVR Tech bears customer-acquisition and churn risk.</w:t>
      </w:r>
    </w:p>
    <w:p>
      <w:pPr>
        <w:pStyle w:val="ListBullet"/>
      </w:pPr>
      <w:r>
        <w:rPr>
          <w:b w:val="0"/>
          <w:i w:val="0"/>
        </w:rPr>
        <w:t>Customer data is handled under applicable privacy law, including CPNI (47 U.S.C. § 222 and 47 CFR §§ 64.2001–64.2011 (Customer Proprietary Network Information)); the Lumbee Tribe receives aggregate reporting, not individual customer data, except as needed for Tribal-member programs it sponsors.</w:t>
      </w:r>
    </w:p>
    <w:p>
      <w:pPr>
        <w:ind w:left="504"/>
      </w:pPr>
      <w:r>
        <w:rPr>
          <w:b/>
          <w:color w:val="0000C0"/>
        </w:rPr>
        <w:t xml:space="preserve">[ATTORNEY REVIEW REQUIRED]  </w:t>
      </w:r>
      <w:r>
        <w:rPr>
          <w:i/>
          <w:color w:val="595959"/>
        </w:rPr>
        <w:t>If any low-income or Lifeline/ETC subsidy is used, 47 CFR Part 54 (USAC/FCC universal service, Lifeline, and ETC requirements) eligibility, ETC designation, and USAC obligations must be addressed. Ownership of the subscriber base on termination is addressed in Articles 17–18.</w:t>
      </w:r>
    </w:p>
    <w:p>
      <w:pPr>
        <w:pStyle w:val="Heading2"/>
        <w:spacing w:before="160" w:after="60"/>
      </w:pPr>
      <w:r>
        <w:rPr>
          <w:rFonts w:ascii="Calibri" w:hAnsi="Calibri"/>
          <w:b/>
          <w:color w:val="000000"/>
          <w:sz w:val="22"/>
        </w:rPr>
        <w:t>9.2  Tribal-Member Benefits</w:t>
      </w:r>
    </w:p>
    <w:p>
      <w:r>
        <w:rPr>
          <w:b w:val="0"/>
          <w:i w:val="0"/>
        </w:rPr>
        <w:t>The Parties intend a Tribal-member benefit (e.g., preferential pricing, priority connection, or a digital-equity program). Scope and funding are open.</w:t>
      </w:r>
    </w:p>
    <w:p>
      <w:pPr>
        <w:ind w:left="504"/>
      </w:pPr>
      <w:r>
        <w:rPr>
          <w:b/>
          <w:color w:val="C00000"/>
        </w:rPr>
        <w:t xml:space="preserve">[BUSINESS DECISION REQUIRED]  </w:t>
      </w:r>
      <w:r>
        <w:rPr>
          <w:i/>
          <w:color w:val="595959"/>
        </w:rPr>
        <w:t>Tribal-member pricing/benefit design and who funds it. [■ Tribal-member benefit program terms].</w:t>
      </w:r>
    </w:p>
    <w:p>
      <w:pPr>
        <w:pStyle w:val="Heading1"/>
        <w:spacing w:before="240" w:after="120"/>
      </w:pPr>
      <w:r>
        <w:rPr>
          <w:rFonts w:ascii="Calibri" w:hAnsi="Calibri"/>
          <w:b/>
          <w:color w:val="1F3864"/>
          <w:sz w:val="26"/>
        </w:rPr>
        <w:t>ARTICLE 10.  REVENUE COLLECTION MODEL</w:t>
      </w:r>
    </w:p>
    <w:p>
      <w:pPr>
        <w:pStyle w:val="Heading2"/>
        <w:spacing w:before="160" w:after="60"/>
      </w:pPr>
      <w:r>
        <w:rPr>
          <w:rFonts w:ascii="Calibri" w:hAnsi="Calibri"/>
          <w:b/>
          <w:color w:val="000000"/>
          <w:sz w:val="22"/>
        </w:rPr>
        <w:t>10.1  Billing and Collections</w:t>
      </w:r>
    </w:p>
    <w:p>
      <w:r>
        <w:rPr>
          <w:b w:val="0"/>
          <w:i w:val="0"/>
        </w:rPr>
        <w:t>RIVR Tech bills subscribers and collects all service revenue, bearing bad-debt and collection risk. Gross service revenue is booked by RIVR Tech and then shared with the Lumbee Tribe per the elected revenue-share option (Article 11).</w:t>
      </w:r>
    </w:p>
    <w:p>
      <w:pPr>
        <w:pStyle w:val="Heading2"/>
        <w:spacing w:before="160" w:after="60"/>
      </w:pPr>
      <w:r>
        <w:rPr>
          <w:rFonts w:ascii="Calibri" w:hAnsi="Calibri"/>
          <w:b/>
          <w:color w:val="000000"/>
          <w:sz w:val="22"/>
        </w:rPr>
        <w:t>10.2  Program Income Characterization</w:t>
      </w:r>
    </w:p>
    <w:p>
      <w:r>
        <w:rPr>
          <w:b w:val="0"/>
          <w:i w:val="0"/>
        </w:rPr>
        <w:t>Revenue derived from the use of grant-funded property may constitute Program Income under 2 CFR 200.307 (Program income). The treatment of that income (added to the project, deducted, or matched) must be fixed with grant counsel, because it affects how the revenue share may be structured and reported during the Federal-Interest period.</w:t>
      </w:r>
    </w:p>
    <w:p>
      <w:pPr>
        <w:ind w:left="504"/>
      </w:pPr>
      <w:r>
        <w:rPr>
          <w:b/>
          <w:color w:val="7F007F"/>
        </w:rPr>
        <w:t xml:space="preserve">[GRANT COMPLIANCE REVIEW REQUIRED]  </w:t>
      </w:r>
      <w:r>
        <w:rPr>
          <w:i/>
          <w:color w:val="595959"/>
        </w:rPr>
        <w:t>Program-income treatment (2 CFR 200.307 (Program income)) is a gating compliance determination that constrains the revenue-share mechanics. It must be resolved before the Financial Schedule is finalized.</w:t>
      </w:r>
    </w:p>
    <w:p>
      <w:pPr>
        <w:pStyle w:val="Heading2"/>
        <w:spacing w:before="160" w:after="60"/>
      </w:pPr>
      <w:r>
        <w:rPr>
          <w:rFonts w:ascii="Calibri" w:hAnsi="Calibri"/>
          <w:b/>
          <w:color w:val="000000"/>
          <w:sz w:val="22"/>
        </w:rPr>
        <w:t>10.3  Reporting and Audit Trail</w:t>
      </w:r>
    </w:p>
    <w:p>
      <w:r>
        <w:rPr>
          <w:b w:val="0"/>
          <w:i w:val="0"/>
        </w:rPr>
        <w:t>RIVR Tech maintains auditable revenue records and provides the Lumbee Tribe with periodic statements and audit access sufficient to support NTIA reporting and single-audit requirements (2 CFR 200.334–200.337 (Record retention and access; three-year retention); 2 CFR Part 200, Subpart F (Audit Requirements; single-audit threshold $1,000,000)).</w:t>
      </w:r>
    </w:p>
    <w:p>
      <w:pPr>
        <w:pStyle w:val="Heading1"/>
        <w:spacing w:before="240" w:after="120"/>
      </w:pPr>
      <w:r>
        <w:rPr>
          <w:rFonts w:ascii="Calibri" w:hAnsi="Calibri"/>
          <w:b/>
          <w:color w:val="1F3864"/>
          <w:sz w:val="26"/>
        </w:rPr>
        <w:t>ARTICLE 11.  REVENUE-SHARING ALTERNATIVES</w:t>
      </w:r>
    </w:p>
    <w:p>
      <w:pPr>
        <w:pStyle w:val="Heading2"/>
        <w:spacing w:before="160" w:after="60"/>
      </w:pPr>
      <w:r>
        <w:rPr>
          <w:rFonts w:ascii="Calibri" w:hAnsi="Calibri"/>
          <w:b/>
          <w:color w:val="000000"/>
          <w:sz w:val="22"/>
        </w:rPr>
        <w:t>11.1  Five Modeled Options</w:t>
      </w:r>
    </w:p>
    <w:p>
      <w:r>
        <w:rPr>
          <w:b w:val="0"/>
          <w:i w:val="0"/>
        </w:rPr>
        <w:t>Five revenue-sharing structures were modeled. Each shares upside with the Lumbee Tribe differently and allocates revenue and cost risk differently between the Parties. All percentages and dollar figures below are placeholders for the Financial Model.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304"/>
            <w:shd w:val="clear" w:color="auto" w:fill="1F3864"/>
            <w:vAlign w:val="center"/>
          </w:tcPr>
          <w:p>
            <w:pPr>
              <w:jc w:val="center"/>
            </w:pPr>
            <w:r>
              <w:rPr>
                <w:b/>
                <w:color w:val="FFFFFF"/>
                <w:sz w:val="16"/>
              </w:rPr>
              <w:t>Option</w:t>
            </w:r>
          </w:p>
        </w:tc>
        <w:tc>
          <w:tcPr>
            <w:tcW w:type="dxa" w:w="2880"/>
            <w:shd w:val="clear" w:color="auto" w:fill="1F3864"/>
            <w:vAlign w:val="center"/>
          </w:tcPr>
          <w:p>
            <w:pPr>
              <w:jc w:val="center"/>
            </w:pPr>
            <w:r>
              <w:rPr>
                <w:b/>
                <w:color w:val="FFFFFF"/>
                <w:sz w:val="16"/>
              </w:rPr>
              <w:t>Mechanic</w:t>
            </w:r>
          </w:p>
        </w:tc>
        <w:tc>
          <w:tcPr>
            <w:tcW w:type="dxa" w:w="1872"/>
            <w:shd w:val="clear" w:color="auto" w:fill="1F3864"/>
            <w:vAlign w:val="center"/>
          </w:tcPr>
          <w:p>
            <w:pPr>
              <w:jc w:val="center"/>
            </w:pPr>
            <w:r>
              <w:rPr>
                <w:b/>
                <w:color w:val="FFFFFF"/>
                <w:sz w:val="16"/>
              </w:rPr>
              <w:t>Lumbee Tribe Bears</w:t>
            </w:r>
          </w:p>
        </w:tc>
        <w:tc>
          <w:tcPr>
            <w:tcW w:type="dxa" w:w="1872"/>
            <w:shd w:val="clear" w:color="auto" w:fill="1F3864"/>
            <w:vAlign w:val="center"/>
          </w:tcPr>
          <w:p>
            <w:pPr>
              <w:jc w:val="center"/>
            </w:pPr>
            <w:r>
              <w:rPr>
                <w:b/>
                <w:color w:val="FFFFFF"/>
                <w:sz w:val="16"/>
              </w:rPr>
              <w:t>Operator Bears</w:t>
            </w:r>
          </w:p>
        </w:tc>
        <w:tc>
          <w:tcPr>
            <w:tcW w:type="dxa" w:w="2592"/>
            <w:shd w:val="clear" w:color="auto" w:fill="1F3864"/>
            <w:vAlign w:val="center"/>
          </w:tcPr>
          <w:p>
            <w:pPr>
              <w:jc w:val="center"/>
            </w:pPr>
            <w:r>
              <w:rPr>
                <w:b/>
                <w:color w:val="FFFFFF"/>
                <w:sz w:val="16"/>
              </w:rPr>
              <w:t>Notes</w:t>
            </w:r>
          </w:p>
        </w:tc>
      </w:tr>
      <w:tr>
        <w:tc>
          <w:tcPr>
            <w:tcW w:type="dxa" w:w="2304"/>
            <w:vAlign w:val="center"/>
          </w:tcPr>
          <w:p>
            <w:r>
              <w:rPr>
                <w:b w:val="0"/>
                <w:i w:val="0"/>
                <w:sz w:val="16"/>
              </w:rPr>
              <w:t>Option A — Fixed Annual IRU / Operating Payment</w:t>
            </w:r>
          </w:p>
        </w:tc>
        <w:tc>
          <w:tcPr>
            <w:tcW w:type="dxa" w:w="2880"/>
            <w:vAlign w:val="center"/>
          </w:tcPr>
          <w:p>
            <w:r>
              <w:rPr>
                <w:b w:val="0"/>
                <w:i w:val="0"/>
                <w:sz w:val="16"/>
              </w:rPr>
              <w:t>Fixed annual payment to the Lumbee Tribe (</w:t>
            </w:r>
            <w:r>
              <w:rPr>
                <w:b w:val="0"/>
                <w:i w:val="0"/>
                <w:color w:val="804000"/>
                <w:sz w:val="16"/>
                <w:highlight w:val="yellow"/>
              </w:rPr>
              <w:t>[■ fixed annual amount]</w:t>
            </w:r>
            <w:r>
              <w:rPr>
                <w:b w:val="0"/>
                <w:i w:val="0"/>
                <w:sz w:val="16"/>
              </w:rPr>
              <w:t>)</w:t>
            </w:r>
          </w:p>
        </w:tc>
        <w:tc>
          <w:tcPr>
            <w:tcW w:type="dxa" w:w="1872"/>
            <w:vAlign w:val="center"/>
          </w:tcPr>
          <w:p>
            <w:r>
              <w:rPr>
                <w:b w:val="0"/>
                <w:i w:val="0"/>
                <w:sz w:val="16"/>
              </w:rPr>
              <w:t>No revenue-volatility upside</w:t>
            </w:r>
          </w:p>
        </w:tc>
        <w:tc>
          <w:tcPr>
            <w:tcW w:type="dxa" w:w="1872"/>
            <w:vAlign w:val="center"/>
          </w:tcPr>
          <w:p>
            <w:r>
              <w:rPr>
                <w:b w:val="0"/>
                <w:i w:val="0"/>
                <w:sz w:val="16"/>
              </w:rPr>
              <w:t>All revenue and cost risk</w:t>
            </w:r>
          </w:p>
        </w:tc>
        <w:tc>
          <w:tcPr>
            <w:tcW w:type="dxa" w:w="2592"/>
            <w:vAlign w:val="center"/>
          </w:tcPr>
          <w:p>
            <w:r>
              <w:rPr>
                <w:b w:val="0"/>
                <w:i w:val="0"/>
                <w:sz w:val="16"/>
              </w:rPr>
              <w:t>Most predictable for the Lumbee Tribe; no upside participation</w:t>
            </w:r>
          </w:p>
        </w:tc>
      </w:tr>
      <w:tr>
        <w:tc>
          <w:tcPr>
            <w:tcW w:type="dxa" w:w="2304"/>
            <w:shd w:val="clear" w:color="auto" w:fill="F2F2F2"/>
            <w:vAlign w:val="center"/>
          </w:tcPr>
          <w:p>
            <w:r>
              <w:rPr>
                <w:b w:val="0"/>
                <w:i w:val="0"/>
                <w:sz w:val="16"/>
              </w:rPr>
              <w:t>Option B — Percentage of Gross Revenue</w:t>
            </w:r>
          </w:p>
        </w:tc>
        <w:tc>
          <w:tcPr>
            <w:tcW w:type="dxa" w:w="2880"/>
            <w:shd w:val="clear" w:color="auto" w:fill="F2F2F2"/>
            <w:vAlign w:val="center"/>
          </w:tcPr>
          <w:p>
            <w:r>
              <w:rPr>
                <w:b w:val="0"/>
                <w:i w:val="0"/>
                <w:color w:val="804000"/>
                <w:sz w:val="16"/>
                <w:highlight w:val="yellow"/>
              </w:rPr>
              <w:t>[■ % of gross revenue]</w:t>
            </w:r>
            <w:r>
              <w:rPr>
                <w:b w:val="0"/>
                <w:i w:val="0"/>
                <w:sz w:val="16"/>
              </w:rPr>
              <w:t xml:space="preserve"> of gross service revenue (placeholder 5%)</w:t>
            </w:r>
          </w:p>
        </w:tc>
        <w:tc>
          <w:tcPr>
            <w:tcW w:type="dxa" w:w="1872"/>
            <w:shd w:val="clear" w:color="auto" w:fill="F2F2F2"/>
            <w:vAlign w:val="center"/>
          </w:tcPr>
          <w:p>
            <w:r>
              <w:rPr>
                <w:b w:val="0"/>
                <w:i w:val="0"/>
                <w:sz w:val="16"/>
              </w:rPr>
              <w:t>Revenue risk (shares downside)</w:t>
            </w:r>
          </w:p>
        </w:tc>
        <w:tc>
          <w:tcPr>
            <w:tcW w:type="dxa" w:w="1872"/>
            <w:shd w:val="clear" w:color="auto" w:fill="F2F2F2"/>
            <w:vAlign w:val="center"/>
          </w:tcPr>
          <w:p>
            <w:r>
              <w:rPr>
                <w:b w:val="0"/>
                <w:i w:val="0"/>
                <w:sz w:val="16"/>
              </w:rPr>
              <w:t>Cost risk</w:t>
            </w:r>
          </w:p>
        </w:tc>
        <w:tc>
          <w:tcPr>
            <w:tcW w:type="dxa" w:w="2592"/>
            <w:shd w:val="clear" w:color="auto" w:fill="F2F2F2"/>
            <w:vAlign w:val="center"/>
          </w:tcPr>
          <w:p>
            <w:r>
              <w:rPr>
                <w:b w:val="0"/>
                <w:i w:val="0"/>
                <w:sz w:val="16"/>
              </w:rPr>
              <w:t>Simple, auditable; ignores operator cost structure</w:t>
            </w:r>
          </w:p>
        </w:tc>
      </w:tr>
      <w:tr>
        <w:tc>
          <w:tcPr>
            <w:tcW w:type="dxa" w:w="2304"/>
            <w:vAlign w:val="center"/>
          </w:tcPr>
          <w:p>
            <w:r>
              <w:rPr>
                <w:b w:val="0"/>
                <w:i w:val="0"/>
                <w:sz w:val="16"/>
              </w:rPr>
              <w:t>Option C — Percentage of Adjusted Operating Cash Flow</w:t>
            </w:r>
          </w:p>
        </w:tc>
        <w:tc>
          <w:tcPr>
            <w:tcW w:type="dxa" w:w="2880"/>
            <w:vAlign w:val="center"/>
          </w:tcPr>
          <w:p>
            <w:r>
              <w:rPr>
                <w:b w:val="0"/>
                <w:i w:val="0"/>
                <w:color w:val="804000"/>
                <w:sz w:val="16"/>
                <w:highlight w:val="yellow"/>
              </w:rPr>
              <w:t>[■ % of adjusted operating cash flow]</w:t>
            </w:r>
            <w:r>
              <w:rPr>
                <w:b w:val="0"/>
                <w:i w:val="0"/>
                <w:sz w:val="16"/>
              </w:rPr>
              <w:t xml:space="preserve"> of adjusted operating cash flow (placeholder 20%)</w:t>
            </w:r>
          </w:p>
        </w:tc>
        <w:tc>
          <w:tcPr>
            <w:tcW w:type="dxa" w:w="1872"/>
            <w:vAlign w:val="center"/>
          </w:tcPr>
          <w:p>
            <w:r>
              <w:rPr>
                <w:b w:val="0"/>
                <w:i w:val="0"/>
                <w:sz w:val="16"/>
              </w:rPr>
              <w:t>Revenue and cost risk</w:t>
            </w:r>
          </w:p>
        </w:tc>
        <w:tc>
          <w:tcPr>
            <w:tcW w:type="dxa" w:w="1872"/>
            <w:vAlign w:val="center"/>
          </w:tcPr>
          <w:p>
            <w:r>
              <w:rPr>
                <w:b w:val="0"/>
                <w:i w:val="0"/>
                <w:sz w:val="16"/>
              </w:rPr>
              <w:t>Cost risk (definitions matter)</w:t>
            </w:r>
          </w:p>
        </w:tc>
        <w:tc>
          <w:tcPr>
            <w:tcW w:type="dxa" w:w="2592"/>
            <w:vAlign w:val="center"/>
          </w:tcPr>
          <w:p>
            <w:r>
              <w:rPr>
                <w:b w:val="0"/>
                <w:i w:val="0"/>
                <w:sz w:val="16"/>
              </w:rPr>
              <w:t>Aligns to profitability; requires tight definitions/audit of costs</w:t>
            </w:r>
          </w:p>
        </w:tc>
      </w:tr>
      <w:tr>
        <w:tc>
          <w:tcPr>
            <w:tcW w:type="dxa" w:w="2304"/>
            <w:shd w:val="clear" w:color="auto" w:fill="F2F2F2"/>
            <w:vAlign w:val="center"/>
          </w:tcPr>
          <w:p>
            <w:r>
              <w:rPr>
                <w:b w:val="0"/>
                <w:i w:val="0"/>
                <w:sz w:val="16"/>
              </w:rPr>
              <w:t>Option D — Hybrid (Fixed Base Payment plus Revenue Share) (recommended)</w:t>
            </w:r>
          </w:p>
        </w:tc>
        <w:tc>
          <w:tcPr>
            <w:tcW w:type="dxa" w:w="2880"/>
            <w:shd w:val="clear" w:color="auto" w:fill="F2F2F2"/>
            <w:vAlign w:val="center"/>
          </w:tcPr>
          <w:p>
            <w:r>
              <w:rPr>
                <w:b w:val="0"/>
                <w:i w:val="0"/>
                <w:sz w:val="16"/>
              </w:rPr>
              <w:t>Fixed base (</w:t>
            </w:r>
            <w:r>
              <w:rPr>
                <w:b w:val="0"/>
                <w:i w:val="0"/>
                <w:color w:val="804000"/>
                <w:sz w:val="16"/>
                <w:highlight w:val="yellow"/>
              </w:rPr>
              <w:t>[■ base amount]</w:t>
            </w:r>
            <w:r>
              <w:rPr>
                <w:b w:val="0"/>
                <w:i w:val="0"/>
                <w:sz w:val="16"/>
              </w:rPr>
              <w:t xml:space="preserve">) plus </w:t>
            </w:r>
            <w:r>
              <w:rPr>
                <w:b w:val="0"/>
                <w:i w:val="0"/>
                <w:color w:val="804000"/>
                <w:sz w:val="16"/>
                <w:highlight w:val="yellow"/>
              </w:rPr>
              <w:t>[■ % share]</w:t>
            </w:r>
            <w:r>
              <w:rPr>
                <w:b w:val="0"/>
                <w:i w:val="0"/>
                <w:sz w:val="16"/>
              </w:rPr>
              <w:t xml:space="preserve"> revenue share</w:t>
            </w:r>
          </w:p>
        </w:tc>
        <w:tc>
          <w:tcPr>
            <w:tcW w:type="dxa" w:w="1872"/>
            <w:shd w:val="clear" w:color="auto" w:fill="F2F2F2"/>
            <w:vAlign w:val="center"/>
          </w:tcPr>
          <w:p>
            <w:r>
              <w:rPr>
                <w:b w:val="0"/>
                <w:i w:val="0"/>
                <w:sz w:val="16"/>
              </w:rPr>
              <w:t>Partial revenue risk above the base</w:t>
            </w:r>
          </w:p>
        </w:tc>
        <w:tc>
          <w:tcPr>
            <w:tcW w:type="dxa" w:w="1872"/>
            <w:shd w:val="clear" w:color="auto" w:fill="F2F2F2"/>
            <w:vAlign w:val="center"/>
          </w:tcPr>
          <w:p>
            <w:r>
              <w:rPr>
                <w:b w:val="0"/>
                <w:i w:val="0"/>
                <w:sz w:val="16"/>
              </w:rPr>
              <w:t>Cost risk; guarantees the base</w:t>
            </w:r>
          </w:p>
        </w:tc>
        <w:tc>
          <w:tcPr>
            <w:tcW w:type="dxa" w:w="2592"/>
            <w:shd w:val="clear" w:color="auto" w:fill="F2F2F2"/>
            <w:vAlign w:val="center"/>
          </w:tcPr>
          <w:p>
            <w:r>
              <w:rPr>
                <w:b w:val="0"/>
                <w:i w:val="0"/>
                <w:sz w:val="16"/>
              </w:rPr>
              <w:t>Floor for the Lumbee Tribe plus upside; balances predictability and alignment</w:t>
            </w:r>
          </w:p>
        </w:tc>
      </w:tr>
      <w:tr>
        <w:tc>
          <w:tcPr>
            <w:tcW w:type="dxa" w:w="2304"/>
            <w:vAlign w:val="center"/>
          </w:tcPr>
          <w:p>
            <w:r>
              <w:rPr>
                <w:b w:val="0"/>
                <w:i w:val="0"/>
                <w:sz w:val="16"/>
              </w:rPr>
              <w:t>Option E — Initial Payment Holiday followed by Stepped Payments</w:t>
            </w:r>
          </w:p>
        </w:tc>
        <w:tc>
          <w:tcPr>
            <w:tcW w:type="dxa" w:w="2880"/>
            <w:vAlign w:val="center"/>
          </w:tcPr>
          <w:p>
            <w:r>
              <w:rPr>
                <w:b w:val="0"/>
                <w:i w:val="0"/>
                <w:sz w:val="16"/>
              </w:rPr>
              <w:t>Initial payment holiday, then stepped payments (</w:t>
            </w:r>
            <w:r>
              <w:rPr>
                <w:b w:val="0"/>
                <w:i w:val="0"/>
                <w:color w:val="804000"/>
                <w:sz w:val="16"/>
                <w:highlight w:val="yellow"/>
              </w:rPr>
              <w:t>[■ step schedule]</w:t>
            </w:r>
            <w:r>
              <w:rPr>
                <w:b w:val="0"/>
                <w:i w:val="0"/>
                <w:sz w:val="16"/>
              </w:rPr>
              <w:t>)</w:t>
            </w:r>
          </w:p>
        </w:tc>
        <w:tc>
          <w:tcPr>
            <w:tcW w:type="dxa" w:w="1872"/>
            <w:vAlign w:val="center"/>
          </w:tcPr>
          <w:p>
            <w:r>
              <w:rPr>
                <w:b w:val="0"/>
                <w:i w:val="0"/>
                <w:sz w:val="16"/>
              </w:rPr>
              <w:t>Deferred cash in early years</w:t>
            </w:r>
          </w:p>
        </w:tc>
        <w:tc>
          <w:tcPr>
            <w:tcW w:type="dxa" w:w="1872"/>
            <w:vAlign w:val="center"/>
          </w:tcPr>
          <w:p>
            <w:r>
              <w:rPr>
                <w:b w:val="0"/>
                <w:i w:val="0"/>
                <w:sz w:val="16"/>
              </w:rPr>
              <w:t>Ramp/adoption risk</w:t>
            </w:r>
          </w:p>
        </w:tc>
        <w:tc>
          <w:tcPr>
            <w:tcW w:type="dxa" w:w="2592"/>
            <w:vAlign w:val="center"/>
          </w:tcPr>
          <w:p>
            <w:r>
              <w:rPr>
                <w:b w:val="0"/>
                <w:i w:val="0"/>
                <w:sz w:val="16"/>
              </w:rPr>
              <w:t>Eases early operator cash flow during build/ramp; back-loads Tribal cash</w:t>
            </w:r>
          </w:p>
        </w:tc>
      </w:tr>
    </w:tbl>
    <w:p>
      <w:pPr>
        <w:pStyle w:val="Heading2"/>
        <w:spacing w:before="160" w:after="60"/>
      </w:pPr>
      <w:r>
        <w:rPr>
          <w:rFonts w:ascii="Calibri" w:hAnsi="Calibri"/>
          <w:b/>
          <w:color w:val="000000"/>
          <w:sz w:val="22"/>
        </w:rPr>
        <w:t>11.2  Recommendation</w:t>
      </w:r>
    </w:p>
    <w:p>
      <w:r>
        <w:rPr>
          <w:b w:val="0"/>
          <w:i w:val="0"/>
        </w:rPr>
        <w:t>Recommendation: adopt Option D — Hybrid (Fixed Base Payment plus Revenue Share). Option D gives the Lumbee Tribe a guaranteed annual floor (protecting the Tribal government against ramp and revenue volatility) while preserving meaningful upside participation as subscribership grows. It is more auditable than a pure cash-flow share (Option C), whose cost definitions invite dispute, and more equitable than a flat fixed payment (Option A), which strands Tribal upside. A modest early-year step (borrowing from Option E) can be layered into the base to accommodate the build/ramp period.</w:t>
      </w:r>
    </w:p>
    <w:p>
      <w:pPr>
        <w:ind w:left="504"/>
      </w:pPr>
      <w:r>
        <w:rPr>
          <w:b/>
          <w:color w:val="C00000"/>
        </w:rPr>
        <w:t xml:space="preserve">[BUSINESS DECISION REQUIRED]  </w:t>
      </w:r>
      <w:r>
        <w:rPr>
          <w:i/>
          <w:color w:val="595959"/>
        </w:rPr>
        <w:t>The base amount, share percentage, revenue definition, and any early-year step are the central commercial negotiation. [■ Option D base, share %, revenue definition, step schedule].</w:t>
      </w:r>
    </w:p>
    <w:p>
      <w:pPr>
        <w:ind w:left="504"/>
      </w:pPr>
      <w:r>
        <w:rPr>
          <w:b/>
          <w:color w:val="7F007F"/>
        </w:rPr>
        <w:t xml:space="preserve">[GRANT COMPLIANCE REVIEW REQUIRED]  </w:t>
      </w:r>
      <w:r>
        <w:rPr>
          <w:i/>
          <w:color w:val="595959"/>
        </w:rPr>
        <w:t>Whatever option is chosen must be reconciled with Program-Income rules (2 CFR 200.307 (Program income)) during the Federal-Interest period.</w:t>
      </w:r>
    </w:p>
    <w:p>
      <w:pPr>
        <w:pStyle w:val="Heading1"/>
        <w:spacing w:before="240" w:after="120"/>
      </w:pPr>
      <w:r>
        <w:rPr>
          <w:rFonts w:ascii="Calibri" w:hAnsi="Calibri"/>
          <w:b/>
          <w:color w:val="1F3864"/>
          <w:sz w:val="26"/>
        </w:rPr>
        <w:t>ARTICLE 12.  MAINTENANCE-COST ALLOCATION</w:t>
      </w:r>
    </w:p>
    <w:p>
      <w:pPr>
        <w:pStyle w:val="Heading2"/>
        <w:spacing w:before="160" w:after="60"/>
      </w:pPr>
      <w:r>
        <w:rPr>
          <w:rFonts w:ascii="Calibri" w:hAnsi="Calibri"/>
          <w:b/>
          <w:color w:val="000000"/>
          <w:sz w:val="22"/>
        </w:rPr>
        <w:t>12.1  Routine and Preventive Maintenance</w:t>
      </w:r>
    </w:p>
    <w:p>
      <w:r>
        <w:rPr>
          <w:b w:val="0"/>
          <w:i w:val="0"/>
        </w:rPr>
        <w:t>RIVR Tech performs and bears the cost of routine, preventive, and corrective maintenance of the Network necessary to meet the SLA, as part of its operating obligations. Maintenance of RIVR Tech Assets is entirely RIVR Tech’s.</w:t>
      </w:r>
    </w:p>
    <w:p>
      <w:pPr>
        <w:pStyle w:val="Heading2"/>
        <w:spacing w:before="160" w:after="60"/>
      </w:pPr>
      <w:r>
        <w:rPr>
          <w:rFonts w:ascii="Calibri" w:hAnsi="Calibri"/>
          <w:b/>
          <w:color w:val="000000"/>
          <w:sz w:val="22"/>
        </w:rPr>
        <w:t>12.2  Extraordinary and Third-Party-Caused Damage</w:t>
      </w:r>
    </w:p>
    <w:p>
      <w:r>
        <w:rPr>
          <w:b w:val="0"/>
          <w:i w:val="0"/>
        </w:rPr>
        <w:t>Costs to repair damage caused by third parties (e.g., dig-ins, vehicle strikes) are pursued against the responsible party; net unrecovered costs and force-majeure/catastrophic restoration are allocated per the O&amp;M Agreement. Utility-locate and pole-attachment obligations follow N.C. Gen. Stat. Ch. 87, Art. 8A (Underground Utility Safety and Damage Prevention Act / 811 locates) and N.C. Gen. Stat. § 62-350 (broadband attachment to utility poles).</w:t>
      </w:r>
    </w:p>
    <w:tbl>
      <w:tblPr>
        <w:tblStyle w:val="TableGrid"/>
        <w:tblW w:type="auto" w:w="0"/>
        <w:jc w:val="center"/>
        <w:tblLook w:firstColumn="1" w:firstRow="1" w:lastColumn="0" w:lastRow="0" w:noHBand="0" w:noVBand="1" w:val="04A0"/>
      </w:tblPr>
      <w:tblGrid>
        <w:gridCol w:w="3120"/>
        <w:gridCol w:w="3120"/>
        <w:gridCol w:w="3120"/>
      </w:tblGrid>
      <w:tr>
        <w:tc>
          <w:tcPr>
            <w:tcW w:type="dxa" w:w="4320"/>
            <w:shd w:val="clear" w:color="auto" w:fill="1F3864"/>
            <w:vAlign w:val="center"/>
          </w:tcPr>
          <w:p>
            <w:pPr>
              <w:jc w:val="center"/>
            </w:pPr>
            <w:r>
              <w:rPr>
                <w:b/>
                <w:color w:val="FFFFFF"/>
                <w:sz w:val="18"/>
              </w:rPr>
              <w:t>Maintenance Category</w:t>
            </w:r>
          </w:p>
        </w:tc>
        <w:tc>
          <w:tcPr>
            <w:tcW w:type="dxa" w:w="3168"/>
            <w:shd w:val="clear" w:color="auto" w:fill="1F3864"/>
            <w:vAlign w:val="center"/>
          </w:tcPr>
          <w:p>
            <w:pPr>
              <w:jc w:val="center"/>
            </w:pPr>
            <w:r>
              <w:rPr>
                <w:b/>
                <w:color w:val="FFFFFF"/>
                <w:sz w:val="18"/>
              </w:rPr>
              <w:t>Cost Borne By</w:t>
            </w:r>
          </w:p>
        </w:tc>
        <w:tc>
          <w:tcPr>
            <w:tcW w:type="dxa" w:w="2592"/>
            <w:shd w:val="clear" w:color="auto" w:fill="1F3864"/>
            <w:vAlign w:val="center"/>
          </w:tcPr>
          <w:p>
            <w:pPr>
              <w:jc w:val="center"/>
            </w:pPr>
            <w:r>
              <w:rPr>
                <w:b/>
                <w:color w:val="FFFFFF"/>
                <w:sz w:val="18"/>
              </w:rPr>
              <w:t>Basis</w:t>
            </w:r>
          </w:p>
        </w:tc>
      </w:tr>
      <w:tr>
        <w:tc>
          <w:tcPr>
            <w:tcW w:type="dxa" w:w="4320"/>
            <w:vAlign w:val="center"/>
          </w:tcPr>
          <w:p>
            <w:r>
              <w:rPr>
                <w:b w:val="0"/>
                <w:i w:val="0"/>
                <w:sz w:val="18"/>
              </w:rPr>
              <w:t>Routine / preventive / SLA-corrective (Tribal + Operator assets)</w:t>
            </w:r>
          </w:p>
        </w:tc>
        <w:tc>
          <w:tcPr>
            <w:tcW w:type="dxa" w:w="3168"/>
            <w:vAlign w:val="center"/>
          </w:tcPr>
          <w:p>
            <w:r>
              <w:rPr>
                <w:b w:val="0"/>
                <w:i w:val="0"/>
                <w:sz w:val="18"/>
              </w:rPr>
              <w:t>RIVR Tech</w:t>
            </w:r>
          </w:p>
        </w:tc>
        <w:tc>
          <w:tcPr>
            <w:tcW w:type="dxa" w:w="2592"/>
            <w:vAlign w:val="center"/>
          </w:tcPr>
          <w:p>
            <w:r>
              <w:rPr>
                <w:b w:val="0"/>
                <w:i w:val="0"/>
                <w:sz w:val="18"/>
              </w:rPr>
              <w:t>Part of operating obligation</w:t>
            </w:r>
          </w:p>
        </w:tc>
      </w:tr>
      <w:tr>
        <w:tc>
          <w:tcPr>
            <w:tcW w:type="dxa" w:w="4320"/>
            <w:shd w:val="clear" w:color="auto" w:fill="F2F2F2"/>
            <w:vAlign w:val="center"/>
          </w:tcPr>
          <w:p>
            <w:r>
              <w:rPr>
                <w:b w:val="0"/>
                <w:i w:val="0"/>
                <w:sz w:val="18"/>
              </w:rPr>
              <w:t>Third-party-caused damage</w:t>
            </w:r>
          </w:p>
        </w:tc>
        <w:tc>
          <w:tcPr>
            <w:tcW w:type="dxa" w:w="3168"/>
            <w:shd w:val="clear" w:color="auto" w:fill="F2F2F2"/>
            <w:vAlign w:val="center"/>
          </w:tcPr>
          <w:p>
            <w:r>
              <w:rPr>
                <w:b w:val="0"/>
                <w:i w:val="0"/>
                <w:sz w:val="18"/>
              </w:rPr>
              <w:t>Responsible third party; net shortfall per O&amp;M</w:t>
            </w:r>
          </w:p>
        </w:tc>
        <w:tc>
          <w:tcPr>
            <w:tcW w:type="dxa" w:w="2592"/>
            <w:shd w:val="clear" w:color="auto" w:fill="F2F2F2"/>
            <w:vAlign w:val="center"/>
          </w:tcPr>
          <w:p>
            <w:r>
              <w:rPr>
                <w:b w:val="0"/>
                <w:i w:val="0"/>
                <w:sz w:val="18"/>
              </w:rPr>
              <w:t>Subrogation / cost-recovery first</w:t>
            </w:r>
          </w:p>
        </w:tc>
      </w:tr>
      <w:tr>
        <w:tc>
          <w:tcPr>
            <w:tcW w:type="dxa" w:w="4320"/>
            <w:vAlign w:val="center"/>
          </w:tcPr>
          <w:p>
            <w:r>
              <w:rPr>
                <w:b w:val="0"/>
                <w:i w:val="0"/>
                <w:sz w:val="18"/>
              </w:rPr>
              <w:t>Catastrophic / force-majeure restoration of Tribal Assets</w:t>
            </w:r>
          </w:p>
        </w:tc>
        <w:tc>
          <w:tcPr>
            <w:tcW w:type="dxa" w:w="3168"/>
            <w:vAlign w:val="center"/>
          </w:tcPr>
          <w:p>
            <w:r>
              <w:rPr>
                <w:b w:val="0"/>
                <w:i w:val="0"/>
                <w:color w:val="804000"/>
                <w:sz w:val="18"/>
                <w:highlight w:val="yellow"/>
              </w:rPr>
              <w:t>[■ allocation — insurance first, then shared/Tribal]</w:t>
            </w:r>
          </w:p>
        </w:tc>
        <w:tc>
          <w:tcPr>
            <w:tcW w:type="dxa" w:w="2592"/>
            <w:vAlign w:val="center"/>
          </w:tcPr>
          <w:p>
            <w:r>
              <w:rPr>
                <w:b w:val="0"/>
                <w:i w:val="0"/>
                <w:sz w:val="18"/>
              </w:rPr>
              <w:t>Insurance (2 CFR 200.310 (Insurance coverage)) then allocation</w:t>
            </w:r>
          </w:p>
        </w:tc>
      </w:tr>
      <w:tr>
        <w:tc>
          <w:tcPr>
            <w:tcW w:type="dxa" w:w="4320"/>
            <w:shd w:val="clear" w:color="auto" w:fill="F2F2F2"/>
            <w:vAlign w:val="center"/>
          </w:tcPr>
          <w:p>
            <w:r>
              <w:rPr>
                <w:b w:val="0"/>
                <w:i w:val="0"/>
                <w:sz w:val="18"/>
              </w:rPr>
              <w:t>Maintenance of RIVR Tech Assets</w:t>
            </w:r>
          </w:p>
        </w:tc>
        <w:tc>
          <w:tcPr>
            <w:tcW w:type="dxa" w:w="3168"/>
            <w:shd w:val="clear" w:color="auto" w:fill="F2F2F2"/>
            <w:vAlign w:val="center"/>
          </w:tcPr>
          <w:p>
            <w:r>
              <w:rPr>
                <w:b w:val="0"/>
                <w:i w:val="0"/>
                <w:sz w:val="18"/>
              </w:rPr>
              <w:t>RIVR Tech</w:t>
            </w:r>
          </w:p>
        </w:tc>
        <w:tc>
          <w:tcPr>
            <w:tcW w:type="dxa" w:w="2592"/>
            <w:shd w:val="clear" w:color="auto" w:fill="F2F2F2"/>
            <w:vAlign w:val="center"/>
          </w:tcPr>
          <w:p>
            <w:r>
              <w:rPr>
                <w:b w:val="0"/>
                <w:i w:val="0"/>
                <w:sz w:val="18"/>
              </w:rPr>
              <w:t>Operator-owned facilities</w:t>
            </w:r>
          </w:p>
        </w:tc>
      </w:tr>
    </w:tbl>
    <w:p>
      <w:pPr>
        <w:ind w:left="504"/>
      </w:pPr>
      <w:r>
        <w:rPr>
          <w:b/>
          <w:color w:val="C00000"/>
        </w:rPr>
        <w:t xml:space="preserve">[BUSINESS DECISION REQUIRED]  </w:t>
      </w:r>
      <w:r>
        <w:rPr>
          <w:i/>
          <w:color w:val="595959"/>
        </w:rPr>
        <w:t>The catastrophic/force-majeure cost-sharing formula for Tribal Assets (after insurance) is an open term.</w:t>
      </w:r>
    </w:p>
    <w:p>
      <w:pPr>
        <w:pStyle w:val="Heading1"/>
        <w:spacing w:before="240" w:after="120"/>
      </w:pPr>
      <w:r>
        <w:rPr>
          <w:rFonts w:ascii="Calibri" w:hAnsi="Calibri"/>
          <w:b/>
          <w:color w:val="1F3864"/>
          <w:sz w:val="26"/>
        </w:rPr>
        <w:t>ARTICLE 13.  REPLACEMENT-CAPITAL RESPONSIBILITY</w:t>
      </w:r>
    </w:p>
    <w:p>
      <w:pPr>
        <w:pStyle w:val="Heading2"/>
        <w:spacing w:before="160" w:after="60"/>
      </w:pPr>
      <w:r>
        <w:rPr>
          <w:rFonts w:ascii="Calibri" w:hAnsi="Calibri"/>
          <w:b/>
          <w:color w:val="000000"/>
          <w:sz w:val="22"/>
        </w:rPr>
        <w:t>13.1  Lifecycle Replacement and Renewal</w:t>
      </w:r>
    </w:p>
    <w:p>
      <w:r>
        <w:rPr>
          <w:b w:val="0"/>
          <w:i w:val="0"/>
        </w:rPr>
        <w:t>Fiber plant is long-lived, but electronics, optics, and certain passive components require periodic replacement within the IRU term. Responsibility for replacement capital (capex) must be allocated so that the Lumbee Tribe receives the Network in good condition at expiry and RIVR Tech has incentives to maintain and modernize.</w:t>
      </w:r>
    </w:p>
    <w:p>
      <w:pPr>
        <w:pStyle w:val="ListBullet"/>
      </w:pPr>
      <w:r>
        <w:rPr>
          <w:b w:val="0"/>
          <w:i w:val="0"/>
        </w:rPr>
        <w:t>Electronics/active equipment (often RIVR Tech Assets): replaced by RIVR Tech at its cost as part of operating the Network.</w:t>
      </w:r>
    </w:p>
    <w:p>
      <w:pPr>
        <w:pStyle w:val="ListBullet"/>
      </w:pPr>
      <w:r>
        <w:rPr>
          <w:b w:val="0"/>
          <w:i w:val="0"/>
        </w:rPr>
        <w:t>Grant-funded Tribal Assets replacement: allocation options include a RIVR Tech-funded renewal obligation, a jointly funded reserve, or a Tribal reserve funded from revenue share.</w:t>
      </w:r>
    </w:p>
    <w:p>
      <w:pPr>
        <w:ind w:left="504"/>
      </w:pPr>
      <w:r>
        <w:rPr>
          <w:b/>
          <w:color w:val="C00000"/>
        </w:rPr>
        <w:t xml:space="preserve">[BUSINESS DECISION REQUIRED]  </w:t>
      </w:r>
      <w:r>
        <w:rPr>
          <w:i/>
          <w:color w:val="595959"/>
        </w:rPr>
        <w:t>Replacement-capital responsibility and any capital-reserve funding mechanism are open. Recommended default: RIVR Tech funds like-for-like replacement of Tribal Assets needed to sustain service, with a hand-back condition standard at expiry. [■ capex allocation and reserve mechanism].</w:t>
      </w:r>
    </w:p>
    <w:p>
      <w:pPr>
        <w:ind w:left="504"/>
      </w:pPr>
      <w:r>
        <w:rPr>
          <w:b/>
          <w:color w:val="7F007F"/>
        </w:rPr>
        <w:t xml:space="preserve">[GRANT COMPLIANCE REVIEW REQUIRED]  </w:t>
      </w:r>
      <w:r>
        <w:rPr>
          <w:i/>
          <w:color w:val="595959"/>
        </w:rPr>
        <w:t>Replacement of grant-funded property, and any use of insurance/replacement proceeds, is subject to 2 CFR 200.313 (Equipment — use, management, and disposition) and 2 CFR 200.315 (Intangible property) during the Federal-Interest period.</w:t>
      </w:r>
    </w:p>
    <w:p>
      <w:pPr>
        <w:pStyle w:val="Heading1"/>
        <w:spacing w:before="240" w:after="120"/>
      </w:pPr>
      <w:r>
        <w:rPr>
          <w:rFonts w:ascii="Calibri" w:hAnsi="Calibri"/>
          <w:b/>
          <w:color w:val="1F3864"/>
          <w:sz w:val="26"/>
        </w:rPr>
        <w:t>ARTICLE 14.  GRANT-COMPLIANCE RESPONSIBILITIES</w:t>
      </w:r>
    </w:p>
    <w:p>
      <w:pPr>
        <w:pStyle w:val="Heading2"/>
        <w:spacing w:before="160" w:after="60"/>
      </w:pPr>
      <w:r>
        <w:rPr>
          <w:rFonts w:ascii="Calibri" w:hAnsi="Calibri"/>
          <w:b/>
          <w:color w:val="000000"/>
          <w:sz w:val="22"/>
        </w:rPr>
        <w:t>14.1  Recipient Accountability, Operator Support</w:t>
      </w:r>
    </w:p>
    <w:p>
      <w:r>
        <w:rPr>
          <w:b w:val="0"/>
          <w:i w:val="0"/>
        </w:rPr>
        <w:t>The Lumbee Tribe is accountable to NTIA for the Award. Compliance duties are flowed down to RIVR Tech through the Grant-Compliance Rider so that the entity performing the work also performs the associated compliance and recordkeeping.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736"/>
            <w:shd w:val="clear" w:color="auto" w:fill="1F3864"/>
            <w:vAlign w:val="center"/>
          </w:tcPr>
          <w:p>
            <w:pPr>
              <w:jc w:val="center"/>
            </w:pPr>
            <w:r>
              <w:rPr>
                <w:b/>
                <w:color w:val="FFFFFF"/>
                <w:sz w:val="16"/>
              </w:rPr>
              <w:t>Compliance Domain</w:t>
            </w:r>
          </w:p>
        </w:tc>
        <w:tc>
          <w:tcPr>
            <w:tcW w:type="dxa" w:w="3888"/>
            <w:shd w:val="clear" w:color="auto" w:fill="1F3864"/>
            <w:vAlign w:val="center"/>
          </w:tcPr>
          <w:p>
            <w:pPr>
              <w:jc w:val="center"/>
            </w:pPr>
            <w:r>
              <w:rPr>
                <w:b/>
                <w:color w:val="FFFFFF"/>
                <w:sz w:val="16"/>
              </w:rPr>
              <w:t>Authority</w:t>
            </w:r>
          </w:p>
        </w:tc>
        <w:tc>
          <w:tcPr>
            <w:tcW w:type="dxa" w:w="1728"/>
            <w:shd w:val="clear" w:color="auto" w:fill="1F3864"/>
            <w:vAlign w:val="center"/>
          </w:tcPr>
          <w:p>
            <w:pPr>
              <w:jc w:val="center"/>
            </w:pPr>
            <w:r>
              <w:rPr>
                <w:b/>
                <w:color w:val="FFFFFF"/>
                <w:sz w:val="16"/>
              </w:rPr>
              <w:t>Lead</w:t>
            </w:r>
          </w:p>
        </w:tc>
        <w:tc>
          <w:tcPr>
            <w:tcW w:type="dxa" w:w="1728"/>
            <w:shd w:val="clear" w:color="auto" w:fill="1F3864"/>
            <w:vAlign w:val="center"/>
          </w:tcPr>
          <w:p>
            <w:pPr>
              <w:jc w:val="center"/>
            </w:pPr>
            <w:r>
              <w:rPr>
                <w:b/>
                <w:color w:val="FFFFFF"/>
                <w:sz w:val="16"/>
              </w:rPr>
              <w:t>Support</w:t>
            </w:r>
          </w:p>
        </w:tc>
      </w:tr>
      <w:tr>
        <w:tc>
          <w:tcPr>
            <w:tcW w:type="dxa" w:w="2736"/>
            <w:vAlign w:val="center"/>
          </w:tcPr>
          <w:p>
            <w:r>
              <w:rPr>
                <w:b w:val="0"/>
                <w:i w:val="0"/>
                <w:sz w:val="16"/>
              </w:rPr>
              <w:t>Uniform Guidance administration</w:t>
            </w:r>
          </w:p>
        </w:tc>
        <w:tc>
          <w:tcPr>
            <w:tcW w:type="dxa" w:w="3888"/>
            <w:vAlign w:val="center"/>
          </w:tcPr>
          <w:p>
            <w:r>
              <w:rPr>
                <w:b w:val="0"/>
                <w:i w:val="0"/>
                <w:sz w:val="16"/>
              </w:rPr>
              <w:t>2 CFR Part 200, as revised effective October 1, 2024 (equipment/supplies and disposition threshold $10,000; single-audit threshold $1,000,000)</w:t>
            </w:r>
          </w:p>
        </w:tc>
        <w:tc>
          <w:tcPr>
            <w:tcW w:type="dxa" w:w="1728"/>
            <w:vAlign w:val="center"/>
          </w:tcPr>
          <w:p>
            <w:r>
              <w:rPr>
                <w:b w:val="0"/>
                <w:i w:val="0"/>
                <w:sz w:val="16"/>
              </w:rPr>
              <w:t>Lumbee Tribe</w:t>
            </w:r>
          </w:p>
        </w:tc>
        <w:tc>
          <w:tcPr>
            <w:tcW w:type="dxa" w:w="1728"/>
            <w:vAlign w:val="center"/>
          </w:tcPr>
          <w:p>
            <w:r>
              <w:rPr>
                <w:b w:val="0"/>
                <w:i w:val="0"/>
                <w:sz w:val="16"/>
              </w:rPr>
              <w:t>RIVR Tech</w:t>
            </w:r>
          </w:p>
        </w:tc>
      </w:tr>
      <w:tr>
        <w:tc>
          <w:tcPr>
            <w:tcW w:type="dxa" w:w="2736"/>
            <w:shd w:val="clear" w:color="auto" w:fill="F2F2F2"/>
            <w:vAlign w:val="center"/>
          </w:tcPr>
          <w:p>
            <w:r>
              <w:rPr>
                <w:b w:val="0"/>
                <w:i w:val="0"/>
                <w:sz w:val="16"/>
              </w:rPr>
              <w:t>Procurement &amp; competition</w:t>
            </w:r>
          </w:p>
        </w:tc>
        <w:tc>
          <w:tcPr>
            <w:tcW w:type="dxa" w:w="3888"/>
            <w:shd w:val="clear" w:color="auto" w:fill="F2F2F2"/>
            <w:vAlign w:val="center"/>
          </w:tcPr>
          <w:p>
            <w:r>
              <w:rPr>
                <w:b w:val="0"/>
                <w:i w:val="0"/>
                <w:sz w:val="16"/>
              </w:rPr>
              <w:t>2 CFR 200.317–200.327 (Procurement standards)</w:t>
            </w:r>
          </w:p>
        </w:tc>
        <w:tc>
          <w:tcPr>
            <w:tcW w:type="dxa" w:w="1728"/>
            <w:shd w:val="clear" w:color="auto" w:fill="F2F2F2"/>
            <w:vAlign w:val="center"/>
          </w:tcPr>
          <w:p>
            <w:r>
              <w:rPr>
                <w:b w:val="0"/>
                <w:i w:val="0"/>
                <w:sz w:val="16"/>
              </w:rPr>
              <w:t>RIVR Tech</w:t>
            </w:r>
          </w:p>
        </w:tc>
        <w:tc>
          <w:tcPr>
            <w:tcW w:type="dxa" w:w="1728"/>
            <w:shd w:val="clear" w:color="auto" w:fill="F2F2F2"/>
            <w:vAlign w:val="center"/>
          </w:tcPr>
          <w:p>
            <w:r>
              <w:rPr>
                <w:b w:val="0"/>
                <w:i w:val="0"/>
                <w:sz w:val="16"/>
              </w:rPr>
              <w:t>Grant counsel</w:t>
            </w:r>
          </w:p>
        </w:tc>
      </w:tr>
      <w:tr>
        <w:tc>
          <w:tcPr>
            <w:tcW w:type="dxa" w:w="2736"/>
            <w:vAlign w:val="center"/>
          </w:tcPr>
          <w:p>
            <w:r>
              <w:rPr>
                <w:b w:val="0"/>
                <w:i w:val="0"/>
                <w:sz w:val="16"/>
              </w:rPr>
              <w:t>Build America, Buy America</w:t>
            </w:r>
          </w:p>
        </w:tc>
        <w:tc>
          <w:tcPr>
            <w:tcW w:type="dxa" w:w="3888"/>
            <w:vAlign w:val="center"/>
          </w:tcPr>
          <w:p>
            <w:r>
              <w:rPr>
                <w:b w:val="0"/>
                <w:i w:val="0"/>
                <w:sz w:val="16"/>
              </w:rPr>
              <w:t>Build America, Buy America Act, IIJA §§ 70911–70917 (Pub. L. 117-58); 2 CFR Part 184; and NTIA BABA award terms</w:t>
            </w:r>
          </w:p>
        </w:tc>
        <w:tc>
          <w:tcPr>
            <w:tcW w:type="dxa" w:w="1728"/>
            <w:vAlign w:val="center"/>
          </w:tcPr>
          <w:p>
            <w:r>
              <w:rPr>
                <w:b w:val="0"/>
                <w:i w:val="0"/>
                <w:sz w:val="16"/>
              </w:rPr>
              <w:t>RIVR Tech</w:t>
            </w:r>
          </w:p>
        </w:tc>
        <w:tc>
          <w:tcPr>
            <w:tcW w:type="dxa" w:w="1728"/>
            <w:vAlign w:val="center"/>
          </w:tcPr>
          <w:p>
            <w:r>
              <w:rPr>
                <w:b w:val="0"/>
                <w:i w:val="0"/>
                <w:sz w:val="16"/>
              </w:rPr>
              <w:t>Lumbee Tribe</w:t>
            </w:r>
          </w:p>
        </w:tc>
      </w:tr>
      <w:tr>
        <w:tc>
          <w:tcPr>
            <w:tcW w:type="dxa" w:w="2736"/>
            <w:shd w:val="clear" w:color="auto" w:fill="F2F2F2"/>
            <w:vAlign w:val="center"/>
          </w:tcPr>
          <w:p>
            <w:r>
              <w:rPr>
                <w:b w:val="0"/>
                <w:i w:val="0"/>
                <w:sz w:val="16"/>
              </w:rPr>
              <w:t>Covered-equipment (§889)</w:t>
            </w:r>
          </w:p>
        </w:tc>
        <w:tc>
          <w:tcPr>
            <w:tcW w:type="dxa" w:w="3888"/>
            <w:shd w:val="clear" w:color="auto" w:fill="F2F2F2"/>
            <w:vAlign w:val="center"/>
          </w:tcPr>
          <w:p>
            <w:r>
              <w:rPr>
                <w:b w:val="0"/>
                <w:i w:val="0"/>
                <w:sz w:val="16"/>
              </w:rPr>
              <w:t>2 CFR 200.216 (Prohibition on certain telecommunications and video surveillance — §889 covered equipment)</w:t>
            </w:r>
          </w:p>
        </w:tc>
        <w:tc>
          <w:tcPr>
            <w:tcW w:type="dxa" w:w="1728"/>
            <w:shd w:val="clear" w:color="auto" w:fill="F2F2F2"/>
            <w:vAlign w:val="center"/>
          </w:tcPr>
          <w:p>
            <w:r>
              <w:rPr>
                <w:b w:val="0"/>
                <w:i w:val="0"/>
                <w:sz w:val="16"/>
              </w:rPr>
              <w:t>RIVR Tech</w:t>
            </w:r>
          </w:p>
        </w:tc>
        <w:tc>
          <w:tcPr>
            <w:tcW w:type="dxa" w:w="1728"/>
            <w:shd w:val="clear" w:color="auto" w:fill="F2F2F2"/>
            <w:vAlign w:val="center"/>
          </w:tcPr>
          <w:p>
            <w:r>
              <w:rPr>
                <w:b w:val="0"/>
                <w:i w:val="0"/>
                <w:sz w:val="16"/>
              </w:rPr>
              <w:t>Lumbee Tribe</w:t>
            </w:r>
          </w:p>
        </w:tc>
      </w:tr>
      <w:tr>
        <w:tc>
          <w:tcPr>
            <w:tcW w:type="dxa" w:w="2736"/>
            <w:vAlign w:val="center"/>
          </w:tcPr>
          <w:p>
            <w:r>
              <w:rPr>
                <w:b w:val="0"/>
                <w:i w:val="0"/>
                <w:sz w:val="16"/>
              </w:rPr>
              <w:t>Environmental / historic</w:t>
            </w:r>
          </w:p>
        </w:tc>
        <w:tc>
          <w:tcPr>
            <w:tcW w:type="dxa" w:w="3888"/>
            <w:vAlign w:val="center"/>
          </w:tcPr>
          <w:p>
            <w:r>
              <w:rPr>
                <w:b w:val="0"/>
                <w:i w:val="0"/>
                <w:sz w:val="16"/>
              </w:rPr>
              <w:t>National Environmental Policy Act (NEPA), 42 U.S.C. § 4321 et seq., and DOC/NTIA implementing procedures; National Historic Preservation Act § 106, 54 U.S.C. § 306108 (36 CFR Part 800)</w:t>
            </w:r>
          </w:p>
        </w:tc>
        <w:tc>
          <w:tcPr>
            <w:tcW w:type="dxa" w:w="1728"/>
            <w:vAlign w:val="center"/>
          </w:tcPr>
          <w:p>
            <w:r>
              <w:rPr>
                <w:b w:val="0"/>
                <w:i w:val="0"/>
                <w:sz w:val="16"/>
              </w:rPr>
              <w:t>Lumbee Tribe</w:t>
            </w:r>
          </w:p>
        </w:tc>
        <w:tc>
          <w:tcPr>
            <w:tcW w:type="dxa" w:w="1728"/>
            <w:vAlign w:val="center"/>
          </w:tcPr>
          <w:p>
            <w:r>
              <w:rPr>
                <w:b w:val="0"/>
                <w:i w:val="0"/>
                <w:sz w:val="16"/>
              </w:rPr>
              <w:t>RIVR Tech</w:t>
            </w:r>
          </w:p>
        </w:tc>
      </w:tr>
      <w:tr>
        <w:tc>
          <w:tcPr>
            <w:tcW w:type="dxa" w:w="2736"/>
            <w:shd w:val="clear" w:color="auto" w:fill="F2F2F2"/>
            <w:vAlign w:val="center"/>
          </w:tcPr>
          <w:p>
            <w:r>
              <w:rPr>
                <w:b w:val="0"/>
                <w:i w:val="0"/>
                <w:sz w:val="16"/>
              </w:rPr>
              <w:t>Property &amp; inventory records</w:t>
            </w:r>
          </w:p>
        </w:tc>
        <w:tc>
          <w:tcPr>
            <w:tcW w:type="dxa" w:w="3888"/>
            <w:shd w:val="clear" w:color="auto" w:fill="F2F2F2"/>
            <w:vAlign w:val="center"/>
          </w:tcPr>
          <w:p>
            <w:r>
              <w:rPr>
                <w:b w:val="0"/>
                <w:i w:val="0"/>
                <w:sz w:val="16"/>
              </w:rPr>
              <w:t>2 CFR 200.313 (Equipment — use, management, and disposition)</w:t>
            </w:r>
          </w:p>
        </w:tc>
        <w:tc>
          <w:tcPr>
            <w:tcW w:type="dxa" w:w="1728"/>
            <w:shd w:val="clear" w:color="auto" w:fill="F2F2F2"/>
            <w:vAlign w:val="center"/>
          </w:tcPr>
          <w:p>
            <w:r>
              <w:rPr>
                <w:b w:val="0"/>
                <w:i w:val="0"/>
                <w:sz w:val="16"/>
              </w:rPr>
              <w:t>Lumbee Tribe</w:t>
            </w:r>
          </w:p>
        </w:tc>
        <w:tc>
          <w:tcPr>
            <w:tcW w:type="dxa" w:w="1728"/>
            <w:shd w:val="clear" w:color="auto" w:fill="F2F2F2"/>
            <w:vAlign w:val="center"/>
          </w:tcPr>
          <w:p>
            <w:r>
              <w:rPr>
                <w:b w:val="0"/>
                <w:i w:val="0"/>
                <w:sz w:val="16"/>
              </w:rPr>
              <w:t>RIVR Tech</w:t>
            </w:r>
          </w:p>
        </w:tc>
      </w:tr>
      <w:tr>
        <w:tc>
          <w:tcPr>
            <w:tcW w:type="dxa" w:w="2736"/>
            <w:vAlign w:val="center"/>
          </w:tcPr>
          <w:p>
            <w:r>
              <w:rPr>
                <w:b w:val="0"/>
                <w:i w:val="0"/>
                <w:sz w:val="16"/>
              </w:rPr>
              <w:t>Program income</w:t>
            </w:r>
          </w:p>
        </w:tc>
        <w:tc>
          <w:tcPr>
            <w:tcW w:type="dxa" w:w="3888"/>
            <w:vAlign w:val="center"/>
          </w:tcPr>
          <w:p>
            <w:r>
              <w:rPr>
                <w:b w:val="0"/>
                <w:i w:val="0"/>
                <w:sz w:val="16"/>
              </w:rPr>
              <w:t>2 CFR 200.307 (Program income)</w:t>
            </w:r>
          </w:p>
        </w:tc>
        <w:tc>
          <w:tcPr>
            <w:tcW w:type="dxa" w:w="1728"/>
            <w:vAlign w:val="center"/>
          </w:tcPr>
          <w:p>
            <w:r>
              <w:rPr>
                <w:b w:val="0"/>
                <w:i w:val="0"/>
                <w:sz w:val="16"/>
              </w:rPr>
              <w:t>Lumbee Tribe</w:t>
            </w:r>
          </w:p>
        </w:tc>
        <w:tc>
          <w:tcPr>
            <w:tcW w:type="dxa" w:w="1728"/>
            <w:vAlign w:val="center"/>
          </w:tcPr>
          <w:p>
            <w:r>
              <w:rPr>
                <w:b w:val="0"/>
                <w:i w:val="0"/>
                <w:sz w:val="16"/>
              </w:rPr>
              <w:t>RIVR Tech</w:t>
            </w:r>
          </w:p>
        </w:tc>
      </w:tr>
      <w:tr>
        <w:tc>
          <w:tcPr>
            <w:tcW w:type="dxa" w:w="2736"/>
            <w:shd w:val="clear" w:color="auto" w:fill="F2F2F2"/>
            <w:vAlign w:val="center"/>
          </w:tcPr>
          <w:p>
            <w:r>
              <w:rPr>
                <w:b w:val="0"/>
                <w:i w:val="0"/>
                <w:sz w:val="16"/>
              </w:rPr>
              <w:t>Records retention &amp; access</w:t>
            </w:r>
          </w:p>
        </w:tc>
        <w:tc>
          <w:tcPr>
            <w:tcW w:type="dxa" w:w="3888"/>
            <w:shd w:val="clear" w:color="auto" w:fill="F2F2F2"/>
            <w:vAlign w:val="center"/>
          </w:tcPr>
          <w:p>
            <w:r>
              <w:rPr>
                <w:b w:val="0"/>
                <w:i w:val="0"/>
                <w:sz w:val="16"/>
              </w:rPr>
              <w:t>2 CFR 200.334–200.337 (Record retention and access; three-year retention)</w:t>
            </w:r>
          </w:p>
        </w:tc>
        <w:tc>
          <w:tcPr>
            <w:tcW w:type="dxa" w:w="1728"/>
            <w:shd w:val="clear" w:color="auto" w:fill="F2F2F2"/>
            <w:vAlign w:val="center"/>
          </w:tcPr>
          <w:p>
            <w:r>
              <w:rPr>
                <w:b w:val="0"/>
                <w:i w:val="0"/>
                <w:sz w:val="16"/>
              </w:rPr>
              <w:t>Both</w:t>
            </w:r>
          </w:p>
        </w:tc>
        <w:tc>
          <w:tcPr>
            <w:tcW w:type="dxa" w:w="1728"/>
            <w:shd w:val="clear" w:color="auto" w:fill="F2F2F2"/>
            <w:vAlign w:val="center"/>
          </w:tcPr>
          <w:p>
            <w:r>
              <w:rPr>
                <w:b w:val="0"/>
                <w:i w:val="0"/>
                <w:sz w:val="16"/>
              </w:rPr>
              <w:t>Both</w:t>
            </w:r>
          </w:p>
        </w:tc>
      </w:tr>
      <w:tr>
        <w:tc>
          <w:tcPr>
            <w:tcW w:type="dxa" w:w="2736"/>
            <w:vAlign w:val="center"/>
          </w:tcPr>
          <w:p>
            <w:r>
              <w:rPr>
                <w:b w:val="0"/>
                <w:i w:val="0"/>
                <w:sz w:val="16"/>
              </w:rPr>
              <w:t>Single audit</w:t>
            </w:r>
          </w:p>
        </w:tc>
        <w:tc>
          <w:tcPr>
            <w:tcW w:type="dxa" w:w="3888"/>
            <w:vAlign w:val="center"/>
          </w:tcPr>
          <w:p>
            <w:r>
              <w:rPr>
                <w:b w:val="0"/>
                <w:i w:val="0"/>
                <w:sz w:val="16"/>
              </w:rPr>
              <w:t>2 CFR Part 200, Subpart F (Audit Requirements; single-audit threshold $1,000,000)</w:t>
            </w:r>
          </w:p>
        </w:tc>
        <w:tc>
          <w:tcPr>
            <w:tcW w:type="dxa" w:w="1728"/>
            <w:vAlign w:val="center"/>
          </w:tcPr>
          <w:p>
            <w:r>
              <w:rPr>
                <w:b w:val="0"/>
                <w:i w:val="0"/>
                <w:sz w:val="16"/>
              </w:rPr>
              <w:t>Lumbee Tribe</w:t>
            </w:r>
          </w:p>
        </w:tc>
        <w:tc>
          <w:tcPr>
            <w:tcW w:type="dxa" w:w="1728"/>
            <w:vAlign w:val="center"/>
          </w:tcPr>
          <w:p>
            <w:r>
              <w:rPr>
                <w:b w:val="0"/>
                <w:i w:val="0"/>
                <w:sz w:val="16"/>
              </w:rPr>
              <w:t>RIVR Tech</w:t>
            </w:r>
          </w:p>
        </w:tc>
      </w:tr>
      <w:tr>
        <w:tc>
          <w:tcPr>
            <w:tcW w:type="dxa" w:w="2736"/>
            <w:shd w:val="clear" w:color="auto" w:fill="F2F2F2"/>
            <w:vAlign w:val="center"/>
          </w:tcPr>
          <w:p>
            <w:r>
              <w:rPr>
                <w:b w:val="0"/>
                <w:i w:val="0"/>
                <w:sz w:val="16"/>
              </w:rPr>
              <w:t>Reporting to NTIA</w:t>
            </w:r>
          </w:p>
        </w:tc>
        <w:tc>
          <w:tcPr>
            <w:tcW w:type="dxa" w:w="3888"/>
            <w:shd w:val="clear" w:color="auto" w:fill="F2F2F2"/>
            <w:vAlign w:val="center"/>
          </w:tcPr>
          <w:p>
            <w:r>
              <w:rPr>
                <w:b w:val="0"/>
                <w:i w:val="0"/>
                <w:sz w:val="16"/>
              </w:rPr>
              <w:t>NTIA Standard Terms and Conditions and Specific Award Conditions</w:t>
            </w:r>
          </w:p>
        </w:tc>
        <w:tc>
          <w:tcPr>
            <w:tcW w:type="dxa" w:w="1728"/>
            <w:shd w:val="clear" w:color="auto" w:fill="F2F2F2"/>
            <w:vAlign w:val="center"/>
          </w:tcPr>
          <w:p>
            <w:r>
              <w:rPr>
                <w:b w:val="0"/>
                <w:i w:val="0"/>
                <w:sz w:val="16"/>
              </w:rPr>
              <w:t>Lumbee Tribe</w:t>
            </w:r>
          </w:p>
        </w:tc>
        <w:tc>
          <w:tcPr>
            <w:tcW w:type="dxa" w:w="1728"/>
            <w:shd w:val="clear" w:color="auto" w:fill="F2F2F2"/>
            <w:vAlign w:val="center"/>
          </w:tcPr>
          <w:p>
            <w:r>
              <w:rPr>
                <w:b w:val="0"/>
                <w:i w:val="0"/>
                <w:sz w:val="16"/>
              </w:rPr>
              <w:t>RIVR Tech</w:t>
            </w:r>
          </w:p>
        </w:tc>
      </w:tr>
    </w:tbl>
    <w:p>
      <w:pPr>
        <w:ind w:left="504"/>
      </w:pPr>
      <w:r>
        <w:rPr>
          <w:b/>
          <w:color w:val="7F007F"/>
        </w:rPr>
        <w:t xml:space="preserve">[GRANT COMPLIANCE REVIEW REQUIRED]  </w:t>
      </w:r>
      <w:r>
        <w:rPr>
          <w:i/>
          <w:color w:val="595959"/>
        </w:rPr>
        <w:t>The compliance flow-down and the contractor-vs-subrecipient determination (2 CFR 200.331 (Subrecipient and contractor determinations)) govern which obligations bind RIVR Tech directly. Grant counsel to finalize the Rider.</w:t>
      </w:r>
    </w:p>
    <w:p>
      <w:pPr>
        <w:pStyle w:val="Heading1"/>
        <w:spacing w:before="240" w:after="120"/>
      </w:pPr>
      <w:r>
        <w:rPr>
          <w:rFonts w:ascii="Calibri" w:hAnsi="Calibri"/>
          <w:b/>
          <w:color w:val="1F3864"/>
          <w:sz w:val="26"/>
        </w:rPr>
        <w:t>ARTICLE 15.  RESERVED TRIBAL FIBER AND CAPACITY</w:t>
      </w:r>
    </w:p>
    <w:p>
      <w:pPr>
        <w:pStyle w:val="Heading2"/>
        <w:spacing w:before="160" w:after="60"/>
      </w:pPr>
      <w:r>
        <w:rPr>
          <w:rFonts w:ascii="Calibri" w:hAnsi="Calibri"/>
          <w:b/>
          <w:color w:val="000000"/>
          <w:sz w:val="22"/>
        </w:rPr>
        <w:t>15.1  Reserved Strands and Capacity</w:t>
      </w:r>
    </w:p>
    <w:p>
      <w:r>
        <w:rPr>
          <w:b w:val="0"/>
          <w:i w:val="0"/>
        </w:rPr>
        <w:t>The Lumbee Tribe reserves, for its own governmental and community use, dedicated dark fiber strands and/or lit capacity on the Tribal Assets, at no recurring charge or at a cost-based rate, exempt from the commercial IRU. This reservation is carved out of RIVR Tech’s operating rights and survives assignment.</w:t>
      </w:r>
    </w:p>
    <w:p>
      <w:pPr>
        <w:pStyle w:val="ListBullet"/>
      </w:pPr>
      <w:r>
        <w:rPr>
          <w:b w:val="0"/>
          <w:i w:val="0"/>
        </w:rPr>
        <w:t xml:space="preserve">Reserved dark fiber: </w:t>
      </w:r>
      <w:r>
        <w:rPr>
          <w:b w:val="0"/>
          <w:i w:val="0"/>
          <w:color w:val="804000"/>
          <w:highlight w:val="yellow"/>
        </w:rPr>
        <w:t>[■ number of reserved strands per segment]</w:t>
      </w:r>
      <w:r>
        <w:rPr>
          <w:b w:val="0"/>
          <w:i w:val="0"/>
        </w:rPr>
        <w:t>.</w:t>
      </w:r>
    </w:p>
    <w:p>
      <w:pPr>
        <w:pStyle w:val="ListBullet"/>
      </w:pPr>
      <w:r>
        <w:rPr>
          <w:b w:val="0"/>
          <w:i w:val="0"/>
        </w:rPr>
        <w:t xml:space="preserve">Reserved lit capacity for Tribal government/anchor sites: </w:t>
      </w:r>
      <w:r>
        <w:rPr>
          <w:b w:val="0"/>
          <w:i w:val="0"/>
          <w:color w:val="804000"/>
          <w:highlight w:val="yellow"/>
        </w:rPr>
        <w:t>[■ reserved bandwidth per site]</w:t>
      </w:r>
      <w:r>
        <w:rPr>
          <w:b w:val="0"/>
          <w:i w:val="0"/>
        </w:rPr>
        <w:t>.</w:t>
      </w:r>
    </w:p>
    <w:p>
      <w:pPr>
        <w:pStyle w:val="ListBullet"/>
      </w:pPr>
      <w:r>
        <w:rPr>
          <w:b w:val="0"/>
          <w:i w:val="0"/>
        </w:rPr>
        <w:t>Priority restoration for reserved capacity following RIVR Tech’s own critical services.</w:t>
      </w:r>
    </w:p>
    <w:p>
      <w:pPr>
        <w:ind w:left="504"/>
      </w:pPr>
      <w:r>
        <w:rPr>
          <w:b/>
          <w:color w:val="C00000"/>
        </w:rPr>
        <w:t xml:space="preserve">[BUSINESS DECISION REQUIRED]  </w:t>
      </w:r>
      <w:r>
        <w:rPr>
          <w:i/>
          <w:color w:val="595959"/>
        </w:rPr>
        <w:t>Quantity of reserved strands/capacity, pricing (free vs. cost-based), and priority level are open commercial terms.</w:t>
      </w:r>
    </w:p>
    <w:p>
      <w:pPr>
        <w:pStyle w:val="Heading1"/>
        <w:spacing w:before="240" w:after="120"/>
      </w:pPr>
      <w:r>
        <w:rPr>
          <w:rFonts w:ascii="Calibri" w:hAnsi="Calibri"/>
          <w:b/>
          <w:color w:val="1F3864"/>
          <w:sz w:val="26"/>
        </w:rPr>
        <w:t>ARTICLE 16.  TRIBAL GOVERNMENT AND ANCHOR-INSTITUTION SERVICES</w:t>
      </w:r>
    </w:p>
    <w:p>
      <w:pPr>
        <w:pStyle w:val="Heading2"/>
        <w:spacing w:before="160" w:after="60"/>
      </w:pPr>
      <w:r>
        <w:rPr>
          <w:rFonts w:ascii="Calibri" w:hAnsi="Calibri"/>
          <w:b/>
          <w:color w:val="000000"/>
          <w:sz w:val="22"/>
        </w:rPr>
        <w:t>16.1  Government and Anchor Connectivity</w:t>
      </w:r>
    </w:p>
    <w:p>
      <w:r>
        <w:rPr>
          <w:b w:val="0"/>
          <w:i w:val="0"/>
        </w:rPr>
        <w:t>RIVR Tech will connect and serve Tribal government facilities and community anchor institutions (e.g., schools, libraries, health/clinic, public-safety, and administrative sites) at defined service levels and preferential rates, consistent with the TBCP emphasis on anchor connectivity.</w:t>
      </w:r>
    </w:p>
    <w:tbl>
      <w:tblPr>
        <w:tblStyle w:val="TableGrid"/>
        <w:tblW w:type="auto" w:w="0"/>
        <w:jc w:val="center"/>
        <w:tblLook w:firstColumn="1" w:firstRow="1" w:lastColumn="0" w:lastRow="0" w:noHBand="0" w:noVBand="1" w:val="04A0"/>
      </w:tblPr>
      <w:tblGrid>
        <w:gridCol w:w="3120"/>
        <w:gridCol w:w="3120"/>
        <w:gridCol w:w="3120"/>
      </w:tblGrid>
      <w:tr>
        <w:tc>
          <w:tcPr>
            <w:tcW w:type="dxa" w:w="3744"/>
            <w:shd w:val="clear" w:color="auto" w:fill="1F3864"/>
            <w:vAlign w:val="center"/>
          </w:tcPr>
          <w:p>
            <w:pPr>
              <w:jc w:val="center"/>
            </w:pPr>
            <w:r>
              <w:rPr>
                <w:b/>
                <w:color w:val="FFFFFF"/>
                <w:sz w:val="18"/>
              </w:rPr>
              <w:t>Service</w:t>
            </w:r>
          </w:p>
        </w:tc>
        <w:tc>
          <w:tcPr>
            <w:tcW w:type="dxa" w:w="3456"/>
            <w:shd w:val="clear" w:color="auto" w:fill="1F3864"/>
            <w:vAlign w:val="center"/>
          </w:tcPr>
          <w:p>
            <w:pPr>
              <w:jc w:val="center"/>
            </w:pPr>
            <w:r>
              <w:rPr>
                <w:b/>
                <w:color w:val="FFFFFF"/>
                <w:sz w:val="18"/>
              </w:rPr>
              <w:t>Beneficiary</w:t>
            </w:r>
          </w:p>
        </w:tc>
        <w:tc>
          <w:tcPr>
            <w:tcW w:type="dxa" w:w="2880"/>
            <w:shd w:val="clear" w:color="auto" w:fill="1F3864"/>
            <w:vAlign w:val="center"/>
          </w:tcPr>
          <w:p>
            <w:pPr>
              <w:jc w:val="center"/>
            </w:pPr>
            <w:r>
              <w:rPr>
                <w:b/>
                <w:color w:val="FFFFFF"/>
                <w:sz w:val="18"/>
              </w:rPr>
              <w:t>Commercial Basis</w:t>
            </w:r>
          </w:p>
        </w:tc>
      </w:tr>
      <w:tr>
        <w:tc>
          <w:tcPr>
            <w:tcW w:type="dxa" w:w="3744"/>
            <w:vAlign w:val="center"/>
          </w:tcPr>
          <w:p>
            <w:r>
              <w:rPr>
                <w:b w:val="0"/>
                <w:i w:val="0"/>
                <w:sz w:val="18"/>
              </w:rPr>
              <w:t>Dedicated government WAN / Internet</w:t>
            </w:r>
          </w:p>
        </w:tc>
        <w:tc>
          <w:tcPr>
            <w:tcW w:type="dxa" w:w="3456"/>
            <w:vAlign w:val="center"/>
          </w:tcPr>
          <w:p>
            <w:r>
              <w:rPr>
                <w:b w:val="0"/>
                <w:i w:val="0"/>
                <w:sz w:val="18"/>
              </w:rPr>
              <w:t>Tribal government facilities</w:t>
            </w:r>
          </w:p>
        </w:tc>
        <w:tc>
          <w:tcPr>
            <w:tcW w:type="dxa" w:w="2880"/>
            <w:vAlign w:val="center"/>
          </w:tcPr>
          <w:p>
            <w:r>
              <w:rPr>
                <w:b w:val="0"/>
                <w:i w:val="0"/>
                <w:color w:val="804000"/>
                <w:sz w:val="18"/>
                <w:highlight w:val="yellow"/>
              </w:rPr>
              <w:t>[■ preferential / cost-based rate]</w:t>
            </w:r>
          </w:p>
        </w:tc>
      </w:tr>
      <w:tr>
        <w:tc>
          <w:tcPr>
            <w:tcW w:type="dxa" w:w="3744"/>
            <w:shd w:val="clear" w:color="auto" w:fill="F2F2F2"/>
            <w:vAlign w:val="center"/>
          </w:tcPr>
          <w:p>
            <w:r>
              <w:rPr>
                <w:b w:val="0"/>
                <w:i w:val="0"/>
                <w:sz w:val="18"/>
              </w:rPr>
              <w:t>Anchor-institution broadband</w:t>
            </w:r>
          </w:p>
        </w:tc>
        <w:tc>
          <w:tcPr>
            <w:tcW w:type="dxa" w:w="3456"/>
            <w:shd w:val="clear" w:color="auto" w:fill="F2F2F2"/>
            <w:vAlign w:val="center"/>
          </w:tcPr>
          <w:p>
            <w:r>
              <w:rPr>
                <w:b w:val="0"/>
                <w:i w:val="0"/>
                <w:sz w:val="18"/>
              </w:rPr>
              <w:t>Schools, library, clinic, public safety</w:t>
            </w:r>
          </w:p>
        </w:tc>
        <w:tc>
          <w:tcPr>
            <w:tcW w:type="dxa" w:w="2880"/>
            <w:shd w:val="clear" w:color="auto" w:fill="F2F2F2"/>
            <w:vAlign w:val="center"/>
          </w:tcPr>
          <w:p>
            <w:r>
              <w:rPr>
                <w:b w:val="0"/>
                <w:i w:val="0"/>
                <w:color w:val="804000"/>
                <w:sz w:val="18"/>
                <w:highlight w:val="yellow"/>
              </w:rPr>
              <w:t>[■ anchor rate schedule]</w:t>
            </w:r>
          </w:p>
        </w:tc>
      </w:tr>
      <w:tr>
        <w:tc>
          <w:tcPr>
            <w:tcW w:type="dxa" w:w="3744"/>
            <w:vAlign w:val="center"/>
          </w:tcPr>
          <w:p>
            <w:r>
              <w:rPr>
                <w:b w:val="0"/>
                <w:i w:val="0"/>
                <w:sz w:val="18"/>
              </w:rPr>
              <w:t>Reserved capacity (see Article 15)</w:t>
            </w:r>
          </w:p>
        </w:tc>
        <w:tc>
          <w:tcPr>
            <w:tcW w:type="dxa" w:w="3456"/>
            <w:vAlign w:val="center"/>
          </w:tcPr>
          <w:p>
            <w:r>
              <w:rPr>
                <w:b w:val="0"/>
                <w:i w:val="0"/>
                <w:sz w:val="18"/>
              </w:rPr>
              <w:t>Lumbee Tribe</w:t>
            </w:r>
          </w:p>
        </w:tc>
        <w:tc>
          <w:tcPr>
            <w:tcW w:type="dxa" w:w="2880"/>
            <w:vAlign w:val="center"/>
          </w:tcPr>
          <w:p>
            <w:r>
              <w:rPr>
                <w:b w:val="0"/>
                <w:i w:val="0"/>
                <w:sz w:val="18"/>
              </w:rPr>
              <w:t>No charge / cost-based</w:t>
            </w:r>
          </w:p>
        </w:tc>
      </w:tr>
    </w:tbl>
    <w:p>
      <w:pPr>
        <w:ind w:left="504"/>
      </w:pPr>
      <w:r>
        <w:rPr>
          <w:b/>
          <w:color w:val="C00000"/>
        </w:rPr>
        <w:t xml:space="preserve">[BUSINESS DECISION REQUIRED]  </w:t>
      </w:r>
      <w:r>
        <w:rPr>
          <w:i/>
          <w:color w:val="595959"/>
        </w:rPr>
        <w:t>Anchor-institution site list, service levels, and rate schedule are open. [■ anchor site list and SLAs].</w:t>
      </w:r>
    </w:p>
    <w:p>
      <w:pPr>
        <w:pStyle w:val="Heading1"/>
        <w:spacing w:before="240" w:after="120"/>
      </w:pPr>
      <w:r>
        <w:rPr>
          <w:rFonts w:ascii="Calibri" w:hAnsi="Calibri"/>
          <w:b/>
          <w:color w:val="1F3864"/>
          <w:sz w:val="26"/>
        </w:rPr>
        <w:t>ARTICLE 17.  RENEWAL AND TERMINATION STRUCTURE</w:t>
      </w:r>
    </w:p>
    <w:p>
      <w:pPr>
        <w:pStyle w:val="Heading2"/>
        <w:spacing w:before="160" w:after="60"/>
      </w:pPr>
      <w:r>
        <w:rPr>
          <w:rFonts w:ascii="Calibri" w:hAnsi="Calibri"/>
          <w:b/>
          <w:color w:val="000000"/>
          <w:sz w:val="22"/>
        </w:rPr>
        <w:t>17.1  Renewal</w:t>
      </w:r>
    </w:p>
    <w:p>
      <w:r>
        <w:rPr>
          <w:b w:val="0"/>
          <w:i w:val="0"/>
        </w:rPr>
        <w:t>The IRU provides two (2) renewal terms of ten (10) years each exercisable by RIVR Tech on notice, provided RIVR Tech is not in uncured material default and the Network meets a hand-back/condition standard, subject to any NTIA consent then required.</w:t>
      </w:r>
    </w:p>
    <w:p>
      <w:pPr>
        <w:pStyle w:val="Heading2"/>
        <w:spacing w:before="160" w:after="60"/>
      </w:pPr>
      <w:r>
        <w:rPr>
          <w:rFonts w:ascii="Calibri" w:hAnsi="Calibri"/>
          <w:b/>
          <w:color w:val="000000"/>
          <w:sz w:val="22"/>
        </w:rPr>
        <w:t>17.2  Termination for Cause and Cure</w:t>
      </w:r>
    </w:p>
    <w:p>
      <w:r>
        <w:rPr>
          <w:b w:val="0"/>
          <w:i w:val="0"/>
        </w:rPr>
        <w:t>Either Party may terminate for the other’s uncured material default, subject to notice and cure:</w:t>
      </w:r>
    </w:p>
    <w:p>
      <w:pPr>
        <w:pStyle w:val="ListBullet"/>
      </w:pPr>
      <w:r>
        <w:rPr>
          <w:b w:val="0"/>
          <w:i w:val="0"/>
        </w:rPr>
        <w:t>Monetary default: cure period of 30 days after notice.</w:t>
      </w:r>
    </w:p>
    <w:p>
      <w:pPr>
        <w:pStyle w:val="ListBullet"/>
      </w:pPr>
      <w:r>
        <w:rPr>
          <w:b w:val="0"/>
          <w:i w:val="0"/>
        </w:rPr>
        <w:t>Non-monetary default: cure period of 60 days, with an additional sixty (60) days if the breach is not reasonably curable within the initial period and the defaulting Party is diligently pursuing cure.</w:t>
      </w:r>
    </w:p>
    <w:p>
      <w:pPr>
        <w:pStyle w:val="ListBullet"/>
      </w:pPr>
      <w:r>
        <w:rPr>
          <w:b w:val="0"/>
          <w:i w:val="0"/>
        </w:rPr>
        <w:t>Default notice period: 30 days.</w:t>
      </w:r>
    </w:p>
    <w:p>
      <w:pPr>
        <w:pStyle w:val="Heading2"/>
        <w:spacing w:before="160" w:after="60"/>
      </w:pPr>
      <w:r>
        <w:rPr>
          <w:rFonts w:ascii="Calibri" w:hAnsi="Calibri"/>
          <w:b/>
          <w:color w:val="000000"/>
          <w:sz w:val="22"/>
        </w:rPr>
        <w:t>17.3  Termination for Grant/Compliance Events</w:t>
      </w:r>
    </w:p>
    <w:p>
      <w:r>
        <w:rPr>
          <w:b w:val="0"/>
          <w:i w:val="0"/>
        </w:rPr>
        <w:t>The definitive documents must address termination or suspension arising from Award termination, NTIA action, or compliance failure (2 CFR 200.339–200.343 (Remedies for noncompliance; termination)), including which Party’s conduct triggered the event and the consequences for the IRU and revenue share.</w:t>
      </w:r>
    </w:p>
    <w:p>
      <w:pPr>
        <w:pStyle w:val="Heading2"/>
        <w:spacing w:before="160" w:after="60"/>
      </w:pPr>
      <w:r>
        <w:rPr>
          <w:rFonts w:ascii="Calibri" w:hAnsi="Calibri"/>
          <w:b/>
          <w:color w:val="000000"/>
          <w:sz w:val="22"/>
        </w:rPr>
        <w:t>17.4  Effect of Termination and Expiry</w:t>
      </w:r>
    </w:p>
    <w:p>
      <w:r>
        <w:rPr>
          <w:b w:val="0"/>
          <w:i w:val="0"/>
        </w:rPr>
        <w:t>On termination or expiry, operational control of the Tribal Assets returns to the Lumbee Tribe (or its designee) in the required condition; the Lumbee Tribe retains title throughout; and the Parties implement the transition plan (Article 18). Post-termination obligations, records access, and Program-Income true-up survive.</w:t>
      </w:r>
    </w:p>
    <w:p>
      <w:pPr>
        <w:ind w:left="504"/>
      </w:pPr>
      <w:r>
        <w:rPr>
          <w:b/>
          <w:color w:val="0000C0"/>
        </w:rPr>
        <w:t xml:space="preserve">[ATTORNEY REVIEW REQUIRED]  </w:t>
      </w:r>
      <w:r>
        <w:rPr>
          <w:i/>
          <w:color w:val="595959"/>
        </w:rPr>
        <w:t>Termination triggers, cross-defaults among the definitive documents, and the consequences of a grant-driven termination (including whether it is a Lumbee Tribe-side or Operator-side risk) must be tailored by counsel.</w:t>
      </w:r>
    </w:p>
    <w:p>
      <w:pPr>
        <w:pStyle w:val="Heading1"/>
        <w:spacing w:before="240" w:after="120"/>
      </w:pPr>
      <w:r>
        <w:rPr>
          <w:rFonts w:ascii="Calibri" w:hAnsi="Calibri"/>
          <w:b/>
          <w:color w:val="1F3864"/>
          <w:sz w:val="26"/>
        </w:rPr>
        <w:t>ARTICLE 18.  STEP-IN AND TRANSITION RIGHTS</w:t>
      </w:r>
    </w:p>
    <w:p>
      <w:pPr>
        <w:pStyle w:val="Heading2"/>
        <w:spacing w:before="160" w:after="60"/>
      </w:pPr>
      <w:r>
        <w:rPr>
          <w:rFonts w:ascii="Calibri" w:hAnsi="Calibri"/>
          <w:b/>
          <w:color w:val="000000"/>
          <w:sz w:val="22"/>
        </w:rPr>
        <w:t>18.1  Tribal Step-In Rights</w:t>
      </w:r>
    </w:p>
    <w:p>
      <w:r>
        <w:rPr>
          <w:b w:val="0"/>
          <w:i w:val="0"/>
        </w:rPr>
        <w:t>To protect continuity of Essential Services and Award compliance, the Lumbee Tribe (or its designee) may step in to operate or cause operation of the Network upon defined triggers, including RIVR Tech insolvency, abandonment, chronic SLA failure, or a compliance breach that imperils the Award. Emergency step-in is immediate, upon notice, where continuity of Essential Services, public safety, or compliance with the Award is imminently threatened.</w:t>
      </w:r>
    </w:p>
    <w:p>
      <w:pPr>
        <w:pStyle w:val="Heading2"/>
        <w:spacing w:before="160" w:after="60"/>
      </w:pPr>
      <w:r>
        <w:rPr>
          <w:rFonts w:ascii="Calibri" w:hAnsi="Calibri"/>
          <w:b/>
          <w:color w:val="000000"/>
          <w:sz w:val="22"/>
        </w:rPr>
        <w:t>18.2  Transition Assistance</w:t>
      </w:r>
    </w:p>
    <w:p>
      <w:r>
        <w:rPr>
          <w:b w:val="0"/>
          <w:i w:val="0"/>
        </w:rPr>
        <w:t>On expiry or termination, RIVR Tech provides transition assistance for up to 12 months: knowledge transfer, records, network documentation, key third-party assignments, and continuity of subscriber service, so the Lumbee Tribe or a successor operator can assume operations without service interruption.</w:t>
      </w:r>
    </w:p>
    <w:p>
      <w:pPr>
        <w:pStyle w:val="ListBullet"/>
      </w:pPr>
      <w:r>
        <w:rPr>
          <w:b w:val="0"/>
          <w:i w:val="0"/>
        </w:rPr>
        <w:t>Delivery of as-built records, the demarcation schedule, and network management access/credentials.</w:t>
      </w:r>
    </w:p>
    <w:p>
      <w:pPr>
        <w:pStyle w:val="ListBullet"/>
      </w:pPr>
      <w:r>
        <w:rPr>
          <w:b w:val="0"/>
          <w:i w:val="0"/>
        </w:rPr>
        <w:t>Assignment or replacement of essential third-party agreements (transport, poles, peering) where assignable.</w:t>
      </w:r>
    </w:p>
    <w:p>
      <w:pPr>
        <w:pStyle w:val="ListBullet"/>
      </w:pPr>
      <w:r>
        <w:rPr>
          <w:b w:val="0"/>
          <w:i w:val="0"/>
        </w:rPr>
        <w:t>Treatment of the subscriber base and in-flight service obligations.</w:t>
      </w:r>
    </w:p>
    <w:p>
      <w:pPr>
        <w:ind w:left="504"/>
      </w:pPr>
      <w:r>
        <w:rPr>
          <w:b/>
          <w:color w:val="0000C0"/>
        </w:rPr>
        <w:t xml:space="preserve">[ATTORNEY REVIEW REQUIRED]  </w:t>
      </w:r>
      <w:r>
        <w:rPr>
          <w:i/>
          <w:color w:val="595959"/>
        </w:rPr>
        <w:t>Step-in triggers, the scope of any limited sovereign-immunity considerations when the Lumbee Tribe operates, subscriber-base ownership on transition, and lender step-in/cure rights must be reconciled by counsel.</w:t>
      </w:r>
    </w:p>
    <w:p>
      <w:pPr>
        <w:pStyle w:val="Heading1"/>
        <w:spacing w:before="240" w:after="120"/>
      </w:pPr>
      <w:r>
        <w:rPr>
          <w:rFonts w:ascii="Calibri" w:hAnsi="Calibri"/>
          <w:b/>
          <w:color w:val="1F3864"/>
          <w:sz w:val="26"/>
        </w:rPr>
        <w:t>ARTICLE 19.  MAJOR UNRESOLVED BUSINESS ISSUES</w:t>
      </w:r>
    </w:p>
    <w:p>
      <w:r>
        <w:rPr>
          <w:b w:val="0"/>
          <w:i w:val="0"/>
        </w:rPr>
        <w:t>The following material commercial terms are open and must be resolved before the definitive documents can be finalized. Each is a placeholder to be filled from the Financial Model and negotiation.</w:t>
      </w:r>
    </w:p>
    <w:p>
      <w:pPr>
        <w:pStyle w:val="ListNumber"/>
      </w:pPr>
      <w:r>
        <w:rPr>
          <w:b w:val="0"/>
          <w:i w:val="0"/>
        </w:rPr>
        <w:t xml:space="preserve">Grant amount and matching-fund requirement. </w:t>
      </w:r>
      <w:r>
        <w:rPr>
          <w:b w:val="0"/>
          <w:i w:val="0"/>
          <w:color w:val="804000"/>
          <w:highlight w:val="yellow"/>
        </w:rPr>
        <w:t>[■ grant amount; match, if any]</w:t>
      </w:r>
      <w:r>
        <w:rPr>
          <w:b w:val="0"/>
          <w:i w:val="0"/>
        </w:rPr>
        <w:t>.</w:t>
      </w:r>
    </w:p>
    <w:p>
      <w:pPr>
        <w:pStyle w:val="ListNumber"/>
      </w:pPr>
      <w:r>
        <w:rPr>
          <w:b w:val="0"/>
          <w:i w:val="0"/>
        </w:rPr>
        <w:t xml:space="preserve">Revenue-share economics under recommended Option D: base, share %, revenue definition, early-year step. </w:t>
      </w:r>
      <w:r>
        <w:rPr>
          <w:b w:val="0"/>
          <w:i w:val="0"/>
          <w:color w:val="804000"/>
          <w:highlight w:val="yellow"/>
        </w:rPr>
        <w:t>[■ Option D economics]</w:t>
      </w:r>
      <w:r>
        <w:rPr>
          <w:b w:val="0"/>
          <w:i w:val="0"/>
        </w:rPr>
        <w:t>.</w:t>
      </w:r>
    </w:p>
    <w:p>
      <w:pPr>
        <w:pStyle w:val="ListNumber"/>
      </w:pPr>
      <w:r>
        <w:rPr>
          <w:b w:val="0"/>
          <w:i w:val="0"/>
        </w:rPr>
        <w:t xml:space="preserve">Any up-front IRU payment to the Lumbee Tribe. </w:t>
      </w:r>
      <w:r>
        <w:rPr>
          <w:b w:val="0"/>
          <w:i w:val="0"/>
          <w:color w:val="804000"/>
          <w:highlight w:val="yellow"/>
        </w:rPr>
        <w:t>[■ up-front payment, if any]</w:t>
      </w:r>
      <w:r>
        <w:rPr>
          <w:b w:val="0"/>
          <w:i w:val="0"/>
        </w:rPr>
        <w:t>.</w:t>
      </w:r>
    </w:p>
    <w:p>
      <w:pPr>
        <w:pStyle w:val="ListNumber"/>
      </w:pPr>
      <w:r>
        <w:rPr>
          <w:b w:val="0"/>
          <w:i w:val="0"/>
        </w:rPr>
        <w:t xml:space="preserve">Replacement-capital responsibility and capital-reserve mechanism. </w:t>
      </w:r>
      <w:r>
        <w:rPr>
          <w:b w:val="0"/>
          <w:i w:val="0"/>
          <w:color w:val="804000"/>
          <w:highlight w:val="yellow"/>
        </w:rPr>
        <w:t>[■ capex/reserve terms]</w:t>
      </w:r>
      <w:r>
        <w:rPr>
          <w:b w:val="0"/>
          <w:i w:val="0"/>
        </w:rPr>
        <w:t>.</w:t>
      </w:r>
    </w:p>
    <w:p>
      <w:pPr>
        <w:pStyle w:val="ListNumber"/>
      </w:pPr>
      <w:r>
        <w:rPr>
          <w:b w:val="0"/>
          <w:i w:val="0"/>
        </w:rPr>
        <w:t xml:space="preserve">Catastrophic/force-majeure cost-sharing for Tribal Assets after insurance. </w:t>
      </w:r>
      <w:r>
        <w:rPr>
          <w:b w:val="0"/>
          <w:i w:val="0"/>
          <w:color w:val="804000"/>
          <w:highlight w:val="yellow"/>
        </w:rPr>
        <w:t>[■ cost-share formula]</w:t>
      </w:r>
      <w:r>
        <w:rPr>
          <w:b w:val="0"/>
          <w:i w:val="0"/>
        </w:rPr>
        <w:t>.</w:t>
      </w:r>
    </w:p>
    <w:p>
      <w:pPr>
        <w:pStyle w:val="ListNumber"/>
      </w:pPr>
      <w:r>
        <w:rPr>
          <w:b w:val="0"/>
          <w:i w:val="0"/>
        </w:rPr>
        <w:t xml:space="preserve">Reserved Tribal fiber/capacity quantity, pricing, and priority. </w:t>
      </w:r>
      <w:r>
        <w:rPr>
          <w:b w:val="0"/>
          <w:i w:val="0"/>
          <w:color w:val="804000"/>
          <w:highlight w:val="yellow"/>
        </w:rPr>
        <w:t>[■ reserved capacity terms]</w:t>
      </w:r>
      <w:r>
        <w:rPr>
          <w:b w:val="0"/>
          <w:i w:val="0"/>
        </w:rPr>
        <w:t>.</w:t>
      </w:r>
    </w:p>
    <w:p>
      <w:pPr>
        <w:pStyle w:val="ListNumber"/>
      </w:pPr>
      <w:r>
        <w:rPr>
          <w:b w:val="0"/>
          <w:i w:val="0"/>
        </w:rPr>
        <w:t xml:space="preserve">Anchor-institution site list, SLAs, and rate schedule. </w:t>
      </w:r>
      <w:r>
        <w:rPr>
          <w:b w:val="0"/>
          <w:i w:val="0"/>
          <w:color w:val="804000"/>
          <w:highlight w:val="yellow"/>
        </w:rPr>
        <w:t>[■ anchor terms]</w:t>
      </w:r>
      <w:r>
        <w:rPr>
          <w:b w:val="0"/>
          <w:i w:val="0"/>
        </w:rPr>
        <w:t>.</w:t>
      </w:r>
    </w:p>
    <w:p>
      <w:pPr>
        <w:pStyle w:val="ListNumber"/>
      </w:pPr>
      <w:r>
        <w:rPr>
          <w:b w:val="0"/>
          <w:i w:val="0"/>
        </w:rPr>
        <w:t xml:space="preserve">Tribal-member benefit/pricing program and its funding. </w:t>
      </w:r>
      <w:r>
        <w:rPr>
          <w:b w:val="0"/>
          <w:i w:val="0"/>
          <w:color w:val="804000"/>
          <w:highlight w:val="yellow"/>
        </w:rPr>
        <w:t>[■ member program terms]</w:t>
      </w:r>
      <w:r>
        <w:rPr>
          <w:b w:val="0"/>
          <w:i w:val="0"/>
        </w:rPr>
        <w:t>.</w:t>
      </w:r>
    </w:p>
    <w:p>
      <w:pPr>
        <w:pStyle w:val="ListNumber"/>
      </w:pPr>
      <w:r>
        <w:rPr>
          <w:b w:val="0"/>
          <w:i w:val="0"/>
        </w:rPr>
        <w:t xml:space="preserve">SLA credits, chronic-failure thresholds, and any performance-linked share adjustment. </w:t>
      </w:r>
      <w:r>
        <w:rPr>
          <w:b w:val="0"/>
          <w:i w:val="0"/>
          <w:color w:val="804000"/>
          <w:highlight w:val="yellow"/>
        </w:rPr>
        <w:t>[■ SLA remedy economics]</w:t>
      </w:r>
      <w:r>
        <w:rPr>
          <w:b w:val="0"/>
          <w:i w:val="0"/>
        </w:rPr>
        <w:t>.</w:t>
      </w:r>
    </w:p>
    <w:p>
      <w:pPr>
        <w:pStyle w:val="ListNumber"/>
      </w:pPr>
      <w:r>
        <w:rPr>
          <w:b w:val="0"/>
          <w:i w:val="0"/>
        </w:rPr>
        <w:t xml:space="preserve">Final route, fiber counts, and locations passed. </w:t>
      </w:r>
      <w:r>
        <w:rPr>
          <w:b w:val="0"/>
          <w:i w:val="0"/>
          <w:color w:val="804000"/>
          <w:highlight w:val="yellow"/>
        </w:rPr>
        <w:t>[■ network design metrics]</w:t>
      </w:r>
      <w:r>
        <w:rPr>
          <w:b w:val="0"/>
          <w:i w:val="0"/>
        </w:rPr>
        <w:t>.</w:t>
      </w:r>
    </w:p>
    <w:p>
      <w:pPr>
        <w:ind w:left="504"/>
      </w:pPr>
      <w:r>
        <w:rPr>
          <w:b/>
          <w:color w:val="C00000"/>
        </w:rPr>
        <w:t xml:space="preserve">[BUSINESS DECISION REQUIRED]  </w:t>
      </w:r>
      <w:r>
        <w:rPr>
          <w:i/>
          <w:color w:val="595959"/>
        </w:rPr>
        <w:t>This list is the negotiation agenda; none of these terms is settled by this Summary.</w:t>
      </w:r>
    </w:p>
    <w:p>
      <w:pPr>
        <w:pStyle w:val="Heading1"/>
        <w:spacing w:before="240" w:after="120"/>
      </w:pPr>
      <w:r>
        <w:rPr>
          <w:rFonts w:ascii="Calibri" w:hAnsi="Calibri"/>
          <w:b/>
          <w:color w:val="1F3864"/>
          <w:sz w:val="26"/>
        </w:rPr>
        <w:t>ARTICLE 20.  RECOMMENDED NEGOTIATING POSITIONS FOR RIVR TECH</w:t>
      </w:r>
    </w:p>
    <w:p>
      <w:r>
        <w:rPr>
          <w:b w:val="0"/>
          <w:i w:val="0"/>
        </w:rPr>
        <w:t>The following positions protect RIVR Tech’s ability to invest, operate, and earn a return, and are offered as advocacy positions for RIVR Tech — not as balanced or final terms.</w:t>
      </w:r>
    </w:p>
    <w:p>
      <w:pPr>
        <w:pStyle w:val="ListBullet"/>
      </w:pPr>
      <w:r>
        <w:rPr>
          <w:b w:val="0"/>
          <w:i w:val="0"/>
        </w:rPr>
        <w:t>Secure the 30-year term plus two (2) renewal terms of ten (10) years each to justify long-term capital and lower the required return.</w:t>
      </w:r>
    </w:p>
    <w:p>
      <w:pPr>
        <w:pStyle w:val="ListBullet"/>
      </w:pPr>
      <w:r>
        <w:rPr>
          <w:b w:val="0"/>
          <w:i w:val="0"/>
        </w:rPr>
        <w:t>Exclusive commercial operating rights (subject only to the Lumbee Tribe’s reserved capacity) to protect the subscriber investment.</w:t>
      </w:r>
    </w:p>
    <w:p>
      <w:pPr>
        <w:pStyle w:val="ListBullet"/>
      </w:pPr>
      <w:r>
        <w:rPr>
          <w:b w:val="0"/>
          <w:i w:val="0"/>
        </w:rPr>
        <w:t>Adopt Option D with a moderate base and meaningful share, plus an early-year step to protect ramp-period cash flow.</w:t>
      </w:r>
    </w:p>
    <w:p>
      <w:pPr>
        <w:pStyle w:val="ListBullet"/>
      </w:pPr>
      <w:r>
        <w:rPr>
          <w:b w:val="0"/>
          <w:i w:val="0"/>
        </w:rPr>
        <w:t>Cap operator exposure for catastrophic restoration of Tribal Assets to insurance proceeds plus a defined amount; the balance funded by reserve or Lumbee Tribe.</w:t>
      </w:r>
    </w:p>
    <w:p>
      <w:pPr>
        <w:pStyle w:val="ListBullet"/>
      </w:pPr>
      <w:r>
        <w:rPr>
          <w:b w:val="0"/>
          <w:i w:val="0"/>
        </w:rPr>
        <w:t>Obtain lender-friendly provisions: collateral assignment of the IRU and revenues (subject to grant constraints), lender cure and step-in rights, and estoppel/consent.</w:t>
      </w:r>
    </w:p>
    <w:p>
      <w:pPr>
        <w:pStyle w:val="ListBullet"/>
      </w:pPr>
      <w:r>
        <w:rPr>
          <w:b w:val="0"/>
          <w:i w:val="0"/>
        </w:rPr>
        <w:t>Cure periods no shorter than the canonical defaults; SLA credits capped and sole-remedy for performance shortfalls short of chronic failure.</w:t>
      </w:r>
    </w:p>
    <w:p>
      <w:pPr>
        <w:pStyle w:val="ListBullet"/>
      </w:pPr>
      <w:r>
        <w:rPr>
          <w:b w:val="0"/>
          <w:i w:val="0"/>
        </w:rPr>
        <w:t>Clear demarcation so operator-owned assets and existing backbone remain free of Federal Interest and Tribal claims.</w:t>
      </w:r>
    </w:p>
    <w:p>
      <w:pPr>
        <w:pStyle w:val="ListBullet"/>
      </w:pPr>
      <w:r>
        <w:rPr>
          <w:b w:val="0"/>
          <w:i w:val="0"/>
        </w:rPr>
        <w:t>A workable limited waiver of sovereign immunity and a neutral, enforceable dispute forum (see Article 22 alternatives).</w:t>
      </w:r>
    </w:p>
    <w:p>
      <w:pPr>
        <w:ind w:left="504"/>
      </w:pPr>
      <w:r>
        <w:rPr>
          <w:b/>
          <w:color w:val="0000C0"/>
        </w:rPr>
        <w:t xml:space="preserve">[ATTORNEY REVIEW REQUIRED]  </w:t>
      </w:r>
      <w:r>
        <w:rPr>
          <w:i/>
          <w:color w:val="595959"/>
        </w:rPr>
        <w:t>These are one-sided starting positions for RIVR Tech; they are not legal advice to the Lumbee Tribe and several depend on NTIA and grant-compliance constraints.</w:t>
      </w:r>
    </w:p>
    <w:p>
      <w:pPr>
        <w:pStyle w:val="Heading1"/>
        <w:spacing w:before="240" w:after="120"/>
      </w:pPr>
      <w:r>
        <w:rPr>
          <w:rFonts w:ascii="Calibri" w:hAnsi="Calibri"/>
          <w:b/>
          <w:color w:val="1F3864"/>
          <w:sz w:val="26"/>
        </w:rPr>
        <w:t>ARTICLE 21.  RECOMMENDED PROTECTIONS FOR THE LUMBEE TRIBE</w:t>
      </w:r>
    </w:p>
    <w:p>
      <w:r>
        <w:rPr>
          <w:b w:val="0"/>
          <w:i w:val="0"/>
        </w:rPr>
        <w:t>The following protections preserve the Lumbee Tribe’s ownership, sovereignty, compliance posture, and long-term value. They are offered as safeguards the Lumbee Tribe should seek.</w:t>
      </w:r>
    </w:p>
    <w:p>
      <w:pPr>
        <w:pStyle w:val="ListBullet"/>
      </w:pPr>
      <w:r>
        <w:rPr>
          <w:b w:val="0"/>
          <w:i w:val="0"/>
        </w:rPr>
        <w:t>Retained title to all Tribal Assets at all times; the IRU is a use right only, expressly not a conveyance.</w:t>
      </w:r>
    </w:p>
    <w:p>
      <w:pPr>
        <w:pStyle w:val="ListBullet"/>
      </w:pPr>
      <w:r>
        <w:rPr>
          <w:b w:val="0"/>
          <w:i w:val="0"/>
        </w:rPr>
        <w:t>Robust step-in rights and up-to-12-month transition assistance to guarantee continuity if the operator fails.</w:t>
      </w:r>
    </w:p>
    <w:p>
      <w:pPr>
        <w:pStyle w:val="ListBullet"/>
      </w:pPr>
      <w:r>
        <w:rPr>
          <w:b w:val="0"/>
          <w:i w:val="0"/>
        </w:rPr>
        <w:t>A guaranteed revenue floor (Option D base) so the Tribal government is paid regardless of adoption ramp.</w:t>
      </w:r>
    </w:p>
    <w:p>
      <w:pPr>
        <w:pStyle w:val="ListBullet"/>
      </w:pPr>
      <w:r>
        <w:rPr>
          <w:b w:val="0"/>
          <w:i w:val="0"/>
        </w:rPr>
        <w:t>Reserved dark fiber and lit capacity for Tribal government and community use, carved out of the IRU and surviving assignment.</w:t>
      </w:r>
    </w:p>
    <w:p>
      <w:pPr>
        <w:pStyle w:val="ListBullet"/>
      </w:pPr>
      <w:r>
        <w:rPr>
          <w:b w:val="0"/>
          <w:i w:val="0"/>
        </w:rPr>
        <w:t>Hand-back/condition standard and operator-funded lifecycle replacement so the Network is returned in good order.</w:t>
      </w:r>
    </w:p>
    <w:p>
      <w:pPr>
        <w:pStyle w:val="ListBullet"/>
      </w:pPr>
      <w:r>
        <w:rPr>
          <w:b w:val="0"/>
          <w:i w:val="0"/>
        </w:rPr>
        <w:t>Full audit and records access; operator indemnity for compliance failures caused by the operator; insurance naming the Lumbee Tribe as additional insured.</w:t>
      </w:r>
    </w:p>
    <w:p>
      <w:pPr>
        <w:pStyle w:val="ListBullet"/>
      </w:pPr>
      <w:r>
        <w:rPr>
          <w:b w:val="0"/>
          <w:i w:val="0"/>
        </w:rPr>
        <w:t>Approval rights over assignment, change of control, and any encumbrance of the IRU; anti-forfeiture protection of Tribal Assets from operator creditors.</w:t>
      </w:r>
    </w:p>
    <w:p>
      <w:pPr>
        <w:pStyle w:val="ListBullet"/>
      </w:pPr>
      <w:r>
        <w:rPr>
          <w:b w:val="0"/>
          <w:i w:val="0"/>
        </w:rPr>
        <w:t>A narrowly scoped, expressly limited waiver of sovereign immunity (if any) that does not reach Tribal assets beyond this transaction, and Tribal-forum or mutually neutral dispute resolution (see Article 22 alternatives).</w:t>
      </w:r>
    </w:p>
    <w:p>
      <w:pPr>
        <w:pStyle w:val="ListBullet"/>
      </w:pPr>
      <w:r>
        <w:rPr>
          <w:b w:val="0"/>
          <w:i w:val="0"/>
        </w:rPr>
        <w:t>Priority protection of grant compliance over any commercial term, with the operator bearing consequences of operator-caused compliance breaches.</w:t>
      </w:r>
    </w:p>
    <w:p>
      <w:pPr>
        <w:ind w:left="504"/>
      </w:pPr>
      <w:r>
        <w:rPr>
          <w:b/>
          <w:color w:val="0000C0"/>
        </w:rPr>
        <w:t xml:space="preserve">[ATTORNEY REVIEW REQUIRED]  </w:t>
      </w:r>
      <w:r>
        <w:rPr>
          <w:i/>
          <w:color w:val="595959"/>
        </w:rPr>
        <w:t>Sovereign-immunity scope, assignment/change-of-control controls, and lender accommodations must be tailored so Tribal protections and operator/lender needs are reconciled without waiving more than the Lumbee Tribe intends.</w:t>
      </w:r>
    </w:p>
    <w:p>
      <w:pPr>
        <w:pStyle w:val="Heading1"/>
        <w:spacing w:before="240" w:after="120"/>
      </w:pPr>
      <w:r>
        <w:rPr>
          <w:rFonts w:ascii="Calibri" w:hAnsi="Calibri"/>
          <w:b/>
          <w:color w:val="1F3864"/>
          <w:sz w:val="26"/>
        </w:rPr>
        <w:t>ARTICLE 22.  ITEMS REQUIRING LEGAL OR NTIA APPROVAL</w:t>
      </w:r>
    </w:p>
    <w:p>
      <w:r>
        <w:rPr>
          <w:b w:val="0"/>
          <w:i w:val="0"/>
        </w:rPr>
        <w:t>The following items cannot be finalized in this Summary and require legal opinion, grant-compliance sign-off, and/or NTIA approval or non-objection. None is silently resolved here.</w:t>
      </w:r>
    </w:p>
    <w:p>
      <w:pPr>
        <w:pStyle w:val="Heading2"/>
        <w:spacing w:before="160" w:after="60"/>
      </w:pPr>
      <w:r>
        <w:rPr>
          <w:rFonts w:ascii="Calibri" w:hAnsi="Calibri"/>
          <w:b/>
          <w:color w:val="000000"/>
          <w:sz w:val="22"/>
        </w:rPr>
        <w:t>22.1  Threshold and Compliance Approvals</w:t>
      </w:r>
    </w:p>
    <w:p>
      <w:pPr>
        <w:pStyle w:val="ListBullet"/>
      </w:pPr>
      <w:r>
        <w:rPr>
          <w:b w:val="0"/>
          <w:i w:val="0"/>
        </w:rPr>
        <w:t xml:space="preserve">Lumbee federal-recognition / TBCP eligibility determination (Lumbee Act of 1956, Pub. L. 84-570, 70 Stat. 254 (federal-recognition status affecting TBCP eligibility)). </w:t>
      </w:r>
      <w:r>
        <w:rPr>
          <w:b/>
          <w:i w:val="0"/>
          <w:color w:val="7F007F"/>
        </w:rPr>
        <w:t>[GRANT COMPLIANCE REVIEW REQUIRED]</w:t>
      </w:r>
      <w:r>
        <w:rPr>
          <w:b w:val="0"/>
          <w:i w:val="0"/>
        </w:rPr>
        <w:t xml:space="preserve"> </w:t>
      </w:r>
      <w:r>
        <w:rPr>
          <w:b/>
          <w:i w:val="0"/>
          <w:color w:val="0000C0"/>
        </w:rPr>
        <w:t>[ATTORNEY REVIEW REQUIRED]</w:t>
      </w:r>
    </w:p>
    <w:p>
      <w:pPr>
        <w:pStyle w:val="ListBullet"/>
      </w:pPr>
      <w:r>
        <w:rPr>
          <w:b w:val="0"/>
          <w:i w:val="0"/>
        </w:rPr>
        <w:t xml:space="preserve">Contractor-vs-subrecipient determination for RIVR Tech (2 CFR 200.331 (Subrecipient and contractor determinations)). </w:t>
      </w:r>
      <w:r>
        <w:rPr>
          <w:b/>
          <w:i w:val="0"/>
          <w:color w:val="7F007F"/>
        </w:rPr>
        <w:t>[GRANT COMPLIANCE REVIEW REQUIRED]</w:t>
      </w:r>
    </w:p>
    <w:p>
      <w:pPr>
        <w:pStyle w:val="ListBullet"/>
      </w:pPr>
      <w:r>
        <w:rPr>
          <w:b w:val="0"/>
          <w:i w:val="0"/>
        </w:rPr>
        <w:t xml:space="preserve">Program-income treatment of shared revenue (2 CFR 200.307 (Program income)). </w:t>
      </w:r>
      <w:r>
        <w:rPr>
          <w:b/>
          <w:i w:val="0"/>
          <w:color w:val="7F007F"/>
        </w:rPr>
        <w:t>[GRANT COMPLIANCE REVIEW REQUIRED]</w:t>
      </w:r>
    </w:p>
    <w:p>
      <w:pPr>
        <w:pStyle w:val="ListBullet"/>
      </w:pPr>
      <w:r>
        <w:rPr>
          <w:b w:val="0"/>
          <w:i w:val="0"/>
        </w:rPr>
        <w:t xml:space="preserve">Federal-Interest, encumbrance, and disposition consents for any IRU/collateral assignment (2 CFR 200.311 (Real property — use, encumbrance, and disposition); 2 CFR 200.313 (Equipment — use, management, and disposition)). </w:t>
      </w:r>
      <w:r>
        <w:rPr>
          <w:b/>
          <w:i w:val="0"/>
          <w:color w:val="7F007F"/>
        </w:rPr>
        <w:t>[GRANT COMPLIANCE REVIEW REQUIRED]</w:t>
      </w:r>
    </w:p>
    <w:p>
      <w:pPr>
        <w:pStyle w:val="ListBullet"/>
      </w:pPr>
      <w:r>
        <w:rPr>
          <w:b w:val="0"/>
          <w:i w:val="0"/>
        </w:rPr>
        <w:t xml:space="preserve">BABA compliance/waivers and §889 covered-equipment certification (Build America, Buy America Act, IIJA §§ 70911–70917 (Pub. L. 117-58); 2 CFR Part 184; and NTIA BABA award terms; 2 CFR 200.216 (Prohibition on certain telecommunications and video surveillance — §889 covered equipment)). </w:t>
      </w:r>
      <w:r>
        <w:rPr>
          <w:b/>
          <w:i w:val="0"/>
          <w:color w:val="7F007F"/>
        </w:rPr>
        <w:t>[GRANT COMPLIANCE REVIEW REQUIRED]</w:t>
      </w:r>
    </w:p>
    <w:p>
      <w:pPr>
        <w:pStyle w:val="ListBullet"/>
      </w:pPr>
      <w:r>
        <w:rPr>
          <w:b w:val="0"/>
          <w:i w:val="0"/>
        </w:rPr>
        <w:t xml:space="preserve">NEPA/NHPA clearances before construction (National Environmental Policy Act (NEPA), 42 U.S.C. § 4321 et seq., and DOC/NTIA implementing procedures; National Historic Preservation Act § 106, 54 U.S.C. § 306108 (36 CFR Part 800)). </w:t>
      </w:r>
      <w:r>
        <w:rPr>
          <w:b/>
          <w:i w:val="0"/>
          <w:color w:val="7F007F"/>
        </w:rPr>
        <w:t>[GRANT COMPLIANCE REVIEW REQUIRED]</w:t>
      </w:r>
    </w:p>
    <w:p>
      <w:pPr>
        <w:pStyle w:val="Heading2"/>
        <w:spacing w:before="160" w:after="60"/>
      </w:pPr>
      <w:r>
        <w:rPr>
          <w:rFonts w:ascii="Calibri" w:hAnsi="Calibri"/>
          <w:b/>
          <w:color w:val="000000"/>
          <w:sz w:val="22"/>
        </w:rPr>
        <w:t>22.2  Governing Law, Jurisdiction, and Dispute Resolution — Alternatives</w:t>
      </w:r>
    </w:p>
    <w:p>
      <w:r>
        <w:rPr>
          <w:b w:val="0"/>
          <w:i w:val="0"/>
        </w:rPr>
        <w:t>Governing law, forum, and dispute-resolution mechanism are NOT selected in this Summary. The following bracketed alternatives are presented for negotiation and attorney review:</w:t>
      </w:r>
    </w:p>
    <w:p>
      <w:pPr>
        <w:pStyle w:val="ListBullet"/>
      </w:pPr>
      <w:r>
        <w:rPr>
          <w:b w:val="0"/>
          <w:i w:val="0"/>
        </w:rPr>
        <w:t xml:space="preserve">[ALT-A: Laws of the North Carolina, with disputes in North Carolina state/federal courts.] </w:t>
      </w:r>
      <w:r>
        <w:rPr>
          <w:b/>
          <w:i w:val="0"/>
          <w:color w:val="0000C0"/>
        </w:rPr>
        <w:t>[ATTORNEY REVIEW REQUIRED]</w:t>
      </w:r>
    </w:p>
    <w:p>
      <w:pPr>
        <w:pStyle w:val="ListBullet"/>
      </w:pPr>
      <w:r>
        <w:rPr>
          <w:b w:val="0"/>
          <w:i w:val="0"/>
        </w:rPr>
        <w:t xml:space="preserve">[ALT-B: Tribal law of the Lumbee Tribe and the jurisdiction of the Tribal court/forum.] </w:t>
      </w:r>
      <w:r>
        <w:rPr>
          <w:b/>
          <w:i w:val="0"/>
          <w:color w:val="0000C0"/>
        </w:rPr>
        <w:t>[ATTORNEY REVIEW REQUIRED]</w:t>
      </w:r>
    </w:p>
    <w:p>
      <w:pPr>
        <w:pStyle w:val="ListBullet"/>
      </w:pPr>
      <w:r>
        <w:rPr>
          <w:b w:val="0"/>
          <w:i w:val="0"/>
        </w:rPr>
        <w:t xml:space="preserve">[ALT-C: Federal law where applicable, with binding arbitration (e.g., AAA/JAMS) in a neutral seat and limited judicial review.] </w:t>
      </w:r>
      <w:r>
        <w:rPr>
          <w:b/>
          <w:i w:val="0"/>
          <w:color w:val="0000C0"/>
        </w:rPr>
        <w:t>[ATTORNEY REVIEW REQUIRED]</w:t>
      </w:r>
    </w:p>
    <w:p>
      <w:pPr>
        <w:ind w:left="504"/>
      </w:pPr>
      <w:r>
        <w:rPr>
          <w:b/>
          <w:color w:val="0000C0"/>
        </w:rPr>
        <w:t xml:space="preserve">[ATTORNEY REVIEW REQUIRED]  </w:t>
      </w:r>
      <w:r>
        <w:rPr>
          <w:i/>
          <w:color w:val="595959"/>
        </w:rPr>
        <w:t>Governing law, jurisdiction, and dispute resolution interact with sovereign immunity and enforceability; they must be selected together by counsel, not individually or by default.</w:t>
      </w:r>
    </w:p>
    <w:p>
      <w:pPr>
        <w:pStyle w:val="Heading2"/>
        <w:spacing w:before="160" w:after="60"/>
      </w:pPr>
      <w:r>
        <w:rPr>
          <w:rFonts w:ascii="Calibri" w:hAnsi="Calibri"/>
          <w:b/>
          <w:color w:val="000000"/>
          <w:sz w:val="22"/>
        </w:rPr>
        <w:t>22.3  Sovereign Immunity — Alternatives</w:t>
      </w:r>
    </w:p>
    <w:p>
      <w:r>
        <w:rPr>
          <w:b w:val="0"/>
          <w:i w:val="0"/>
        </w:rPr>
        <w:t>Whether and how the Lumbee Tribe waives sovereign immunity is NOT decided here. Alternatives:</w:t>
      </w:r>
    </w:p>
    <w:p>
      <w:pPr>
        <w:pStyle w:val="ListBullet"/>
      </w:pPr>
      <w:r>
        <w:rPr>
          <w:b w:val="0"/>
          <w:i w:val="0"/>
        </w:rPr>
        <w:t xml:space="preserve">[ALT-1: No waiver; disputes resolved through non-binding processes and Tribal forum only.] </w:t>
      </w:r>
      <w:r>
        <w:rPr>
          <w:b/>
          <w:i w:val="0"/>
          <w:color w:val="0000C0"/>
        </w:rPr>
        <w:t>[ATTORNEY REVIEW REQUIRED]</w:t>
      </w:r>
    </w:p>
    <w:p>
      <w:pPr>
        <w:pStyle w:val="ListBullet"/>
      </w:pPr>
      <w:r>
        <w:rPr>
          <w:b w:val="0"/>
          <w:i w:val="0"/>
        </w:rPr>
        <w:t xml:space="preserve">[ALT-2: Narrow limited waiver solely for enforcement of this transaction, capped to specified assets/revenues and a specified forum, with exhaustion requirements.] </w:t>
      </w:r>
      <w:r>
        <w:rPr>
          <w:b/>
          <w:i w:val="0"/>
          <w:color w:val="0000C0"/>
        </w:rPr>
        <w:t>[ATTORNEY REVIEW REQUIRED]</w:t>
      </w:r>
    </w:p>
    <w:p>
      <w:pPr>
        <w:pStyle w:val="ListBullet"/>
      </w:pPr>
      <w:r>
        <w:rPr>
          <w:b w:val="0"/>
          <w:i w:val="0"/>
        </w:rPr>
        <w:t xml:space="preserve">[ALT-3: Limited waiver for arbitration and for confirmation/enforcement of an award in a designated court only.] </w:t>
      </w:r>
      <w:r>
        <w:rPr>
          <w:b/>
          <w:i w:val="0"/>
          <w:color w:val="0000C0"/>
        </w:rPr>
        <w:t>[ATTORNEY REVIEW REQUIRED]</w:t>
      </w:r>
    </w:p>
    <w:p>
      <w:pPr>
        <w:ind w:left="504"/>
      </w:pPr>
      <w:r>
        <w:rPr>
          <w:b/>
          <w:color w:val="0000C0"/>
        </w:rPr>
        <w:t xml:space="preserve">[ATTORNEY REVIEW REQUIRED]  </w:t>
      </w:r>
      <w:r>
        <w:rPr>
          <w:i/>
          <w:color w:val="595959"/>
        </w:rPr>
        <w:t>Any waiver must be authorized by the proper Tribal governing body per Tribal law, expressly limited, and never broader than necessary. This is a sovereign act of the Lumbee Tribe, not a drafting default.</w:t>
      </w:r>
    </w:p>
    <w:p>
      <w:pPr>
        <w:pStyle w:val="Heading1"/>
        <w:spacing w:before="240" w:after="120"/>
      </w:pPr>
      <w:r>
        <w:rPr>
          <w:rFonts w:ascii="Calibri" w:hAnsi="Calibri"/>
          <w:b/>
          <w:color w:val="1F3864"/>
          <w:sz w:val="26"/>
        </w:rPr>
        <w:t>ARTICLE 23.  TERM SHEET</w:t>
      </w:r>
    </w:p>
    <w:p>
      <w:r>
        <w:rPr>
          <w:b w:val="0"/>
          <w:i w:val="0"/>
        </w:rPr>
        <w:t>The following term sheet summarizes the proposed transaction. Bracketed items and highlighted placeholders are open; alternatives are presented where no default may be silently selected.</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1F3864"/>
            <w:vAlign w:val="center"/>
          </w:tcPr>
          <w:p>
            <w:pPr>
              <w:jc w:val="center"/>
            </w:pPr>
            <w:r>
              <w:rPr>
                <w:b/>
                <w:color w:val="FFFFFF"/>
                <w:sz w:val="16"/>
              </w:rPr>
              <w:t>Term</w:t>
            </w:r>
          </w:p>
        </w:tc>
        <w:tc>
          <w:tcPr>
            <w:tcW w:type="dxa" w:w="7632"/>
            <w:shd w:val="clear" w:color="auto" w:fill="1F3864"/>
            <w:vAlign w:val="center"/>
          </w:tcPr>
          <w:p>
            <w:pPr>
              <w:jc w:val="center"/>
            </w:pPr>
            <w:r>
              <w:rPr>
                <w:b/>
                <w:color w:val="FFFFFF"/>
                <w:sz w:val="16"/>
              </w:rPr>
              <w:t>Position / Placeholder</w:t>
            </w:r>
          </w:p>
        </w:tc>
      </w:tr>
      <w:tr>
        <w:tc>
          <w:tcPr>
            <w:tcW w:type="dxa" w:w="2448"/>
            <w:vAlign w:val="center"/>
          </w:tcPr>
          <w:p>
            <w:r>
              <w:rPr>
                <w:b w:val="0"/>
                <w:i w:val="0"/>
                <w:sz w:val="16"/>
              </w:rPr>
              <w:t>Parties</w:t>
            </w:r>
          </w:p>
        </w:tc>
        <w:tc>
          <w:tcPr>
            <w:tcW w:type="dxa" w:w="7632"/>
            <w:vAlign w:val="center"/>
          </w:tcPr>
          <w:p>
            <w:r>
              <w:rPr>
                <w:b w:val="0"/>
                <w:i w:val="0"/>
                <w:sz w:val="16"/>
              </w:rPr>
              <w:t>Lumbee Tribe of North Carolina (the “Lumbee Tribe”), or a wholly owned Tribal entity or Tribally chartered instrumentality designated by the Lumbee Tribe; and LREMC Technologies, LLC d/b/a RIVR Tech (“RIVR Tech”).</w:t>
            </w:r>
          </w:p>
        </w:tc>
      </w:tr>
      <w:tr>
        <w:tc>
          <w:tcPr>
            <w:tcW w:type="dxa" w:w="2448"/>
            <w:shd w:val="clear" w:color="auto" w:fill="F2F2F2"/>
            <w:vAlign w:val="center"/>
          </w:tcPr>
          <w:p>
            <w:r>
              <w:rPr>
                <w:b w:val="0"/>
                <w:i w:val="0"/>
                <w:sz w:val="16"/>
              </w:rPr>
              <w:t>Program / Agency</w:t>
            </w:r>
          </w:p>
        </w:tc>
        <w:tc>
          <w:tcPr>
            <w:tcW w:type="dxa" w:w="7632"/>
            <w:shd w:val="clear" w:color="auto" w:fill="F2F2F2"/>
            <w:vAlign w:val="center"/>
          </w:tcPr>
          <w:p>
            <w:r>
              <w:rPr>
                <w:b w:val="0"/>
                <w:i w:val="0"/>
                <w:sz w:val="16"/>
              </w:rPr>
              <w:t>Tribal Broadband Connectivity Program (TBCP), National Telecommunications and Information Administration (NTIA); TBCP Round 3 Notice of Funding Opportunity.</w:t>
            </w:r>
          </w:p>
        </w:tc>
      </w:tr>
      <w:tr>
        <w:tc>
          <w:tcPr>
            <w:tcW w:type="dxa" w:w="2448"/>
            <w:vAlign w:val="center"/>
          </w:tcPr>
          <w:p>
            <w:r>
              <w:rPr>
                <w:b w:val="0"/>
                <w:i w:val="0"/>
                <w:sz w:val="16"/>
              </w:rPr>
              <w:t>Eligibility threshold</w:t>
            </w:r>
          </w:p>
        </w:tc>
        <w:tc>
          <w:tcPr>
            <w:tcW w:type="dxa" w:w="7632"/>
            <w:vAlign w:val="center"/>
          </w:tcPr>
          <w:p>
            <w:r>
              <w:rPr>
                <w:b/>
                <w:i w:val="0"/>
                <w:color w:val="7F007F"/>
                <w:sz w:val="16"/>
              </w:rPr>
              <w:t>[GRANT COMPLIANCE REVIEW REQUIRED]</w:t>
            </w:r>
            <w:r>
              <w:rPr>
                <w:b w:val="0"/>
                <w:i w:val="0"/>
                <w:sz w:val="16"/>
              </w:rPr>
              <w:t xml:space="preserve"> </w:t>
            </w:r>
            <w:r>
              <w:rPr>
                <w:b/>
                <w:i w:val="0"/>
                <w:color w:val="0000C0"/>
                <w:sz w:val="16"/>
              </w:rPr>
              <w:t>[ATTORNEY REVIEW REQUIRED]</w:t>
            </w:r>
            <w:r>
              <w:rPr>
                <w:b w:val="0"/>
                <w:i w:val="0"/>
                <w:sz w:val="16"/>
              </w:rPr>
              <w:t xml:space="preserve"> Lumbee federal-recognition/TBCP eligibility (Lumbee Act of 1956, Pub. L. 84-570, 70 Stat. 254 (federal-recognition status affecting TBCP eligibility)) must be confirmed before application.</w:t>
            </w:r>
          </w:p>
        </w:tc>
      </w:tr>
      <w:tr>
        <w:tc>
          <w:tcPr>
            <w:tcW w:type="dxa" w:w="2448"/>
            <w:shd w:val="clear" w:color="auto" w:fill="F2F2F2"/>
            <w:vAlign w:val="center"/>
          </w:tcPr>
          <w:p>
            <w:r>
              <w:rPr>
                <w:b w:val="0"/>
                <w:i w:val="0"/>
                <w:sz w:val="16"/>
              </w:rPr>
              <w:t>Structure</w:t>
            </w:r>
          </w:p>
        </w:tc>
        <w:tc>
          <w:tcPr>
            <w:tcW w:type="dxa" w:w="7632"/>
            <w:shd w:val="clear" w:color="auto" w:fill="F2F2F2"/>
            <w:vAlign w:val="center"/>
          </w:tcPr>
          <w:p>
            <w:r>
              <w:rPr>
                <w:b w:val="0"/>
                <w:i w:val="0"/>
                <w:sz w:val="16"/>
              </w:rPr>
              <w:t>Tribally owned, grant-funded Tribal Assets interconnected with the RIVR Tech Existing Network; RIVR Tech operates and commercializes under a long-term IRU. Title never transfers.</w:t>
            </w:r>
          </w:p>
        </w:tc>
      </w:tr>
      <w:tr>
        <w:tc>
          <w:tcPr>
            <w:tcW w:type="dxa" w:w="2448"/>
            <w:vAlign w:val="center"/>
          </w:tcPr>
          <w:p>
            <w:r>
              <w:rPr>
                <w:b w:val="0"/>
                <w:i w:val="0"/>
                <w:sz w:val="16"/>
              </w:rPr>
              <w:t>Ownership</w:t>
            </w:r>
          </w:p>
        </w:tc>
        <w:tc>
          <w:tcPr>
            <w:tcW w:type="dxa" w:w="7632"/>
            <w:vAlign w:val="center"/>
          </w:tcPr>
          <w:p>
            <w:r>
              <w:rPr>
                <w:b w:val="0"/>
                <w:i w:val="0"/>
                <w:sz w:val="16"/>
              </w:rPr>
              <w:t>Lumbee Tribe holds and retains title to all Tribal Assets; RIVR Tech owns RIVR Tech Assets. Boundary fixed by the Demarcation Point schedule.</w:t>
            </w:r>
          </w:p>
        </w:tc>
      </w:tr>
      <w:tr>
        <w:tc>
          <w:tcPr>
            <w:tcW w:type="dxa" w:w="2448"/>
            <w:shd w:val="clear" w:color="auto" w:fill="F2F2F2"/>
            <w:vAlign w:val="center"/>
          </w:tcPr>
          <w:p>
            <w:r>
              <w:rPr>
                <w:b w:val="0"/>
                <w:i w:val="0"/>
                <w:sz w:val="16"/>
              </w:rPr>
              <w:t>IRU term &amp; renewal</w:t>
            </w:r>
          </w:p>
        </w:tc>
        <w:tc>
          <w:tcPr>
            <w:tcW w:type="dxa" w:w="7632"/>
            <w:shd w:val="clear" w:color="auto" w:fill="F2F2F2"/>
            <w:vAlign w:val="center"/>
          </w:tcPr>
          <w:p>
            <w:r>
              <w:rPr>
                <w:b w:val="0"/>
                <w:i w:val="0"/>
                <w:sz w:val="16"/>
              </w:rPr>
              <w:t>Recommended 30-year initial term (alternatives 20/25/30) plus two (2) renewal terms of ten (10) years each, subject to Federal-Interest constraints and NTIA consent where required.</w:t>
            </w:r>
          </w:p>
        </w:tc>
      </w:tr>
      <w:tr>
        <w:tc>
          <w:tcPr>
            <w:tcW w:type="dxa" w:w="2448"/>
            <w:vAlign w:val="center"/>
          </w:tcPr>
          <w:p>
            <w:r>
              <w:rPr>
                <w:b w:val="0"/>
                <w:i w:val="0"/>
                <w:sz w:val="16"/>
              </w:rPr>
              <w:t>Consideration</w:t>
            </w:r>
          </w:p>
        </w:tc>
        <w:tc>
          <w:tcPr>
            <w:tcW w:type="dxa" w:w="7632"/>
            <w:vAlign w:val="center"/>
          </w:tcPr>
          <w:p>
            <w:r>
              <w:rPr>
                <w:b w:val="0"/>
                <w:i w:val="0"/>
                <w:sz w:val="16"/>
              </w:rPr>
              <w:t xml:space="preserve">one dollar ($1.00) and other good and valuable consideration, plus the operating, maintenance, and revenue-sharing obligations set forth herein. </w:t>
            </w:r>
            <w:r>
              <w:rPr>
                <w:b/>
                <w:i w:val="0"/>
                <w:color w:val="C00000"/>
                <w:sz w:val="16"/>
              </w:rPr>
              <w:t>[BUSINESS DECISION REQUIRED]</w:t>
            </w:r>
            <w:r>
              <w:rPr>
                <w:b w:val="0"/>
                <w:i w:val="0"/>
                <w:sz w:val="16"/>
              </w:rPr>
              <w:t xml:space="preserve"> Up-front payment, if any: </w:t>
            </w:r>
            <w:r>
              <w:rPr>
                <w:b w:val="0"/>
                <w:i w:val="0"/>
                <w:color w:val="804000"/>
                <w:sz w:val="16"/>
                <w:highlight w:val="yellow"/>
              </w:rPr>
              <w:t>[■ up-front IRU payment]</w:t>
            </w:r>
            <w:r>
              <w:rPr>
                <w:b w:val="0"/>
                <w:i w:val="0"/>
                <w:sz w:val="16"/>
              </w:rPr>
              <w:t>.</w:t>
            </w:r>
          </w:p>
        </w:tc>
      </w:tr>
      <w:tr>
        <w:tc>
          <w:tcPr>
            <w:tcW w:type="dxa" w:w="2448"/>
            <w:shd w:val="clear" w:color="auto" w:fill="F2F2F2"/>
            <w:vAlign w:val="center"/>
          </w:tcPr>
          <w:p>
            <w:r>
              <w:rPr>
                <w:b w:val="0"/>
                <w:i w:val="0"/>
                <w:sz w:val="16"/>
              </w:rPr>
              <w:t>Revenue share</w:t>
            </w:r>
          </w:p>
        </w:tc>
        <w:tc>
          <w:tcPr>
            <w:tcW w:type="dxa" w:w="7632"/>
            <w:shd w:val="clear" w:color="auto" w:fill="F2F2F2"/>
            <w:vAlign w:val="center"/>
          </w:tcPr>
          <w:p>
            <w:r>
              <w:rPr>
                <w:b w:val="0"/>
                <w:i w:val="0"/>
                <w:sz w:val="16"/>
              </w:rPr>
              <w:t xml:space="preserve">Recommended Option D — Hybrid (Fixed Base Payment plus Revenue Share). </w:t>
            </w:r>
            <w:r>
              <w:rPr>
                <w:b/>
                <w:i w:val="0"/>
                <w:color w:val="C00000"/>
                <w:sz w:val="16"/>
              </w:rPr>
              <w:t>[BUSINESS DECISION REQUIRED]</w:t>
            </w:r>
            <w:r>
              <w:rPr>
                <w:b w:val="0"/>
                <w:i w:val="0"/>
                <w:sz w:val="16"/>
              </w:rPr>
              <w:t xml:space="preserve"> Base </w:t>
            </w:r>
            <w:r>
              <w:rPr>
                <w:b w:val="0"/>
                <w:i w:val="0"/>
                <w:color w:val="804000"/>
                <w:sz w:val="16"/>
                <w:highlight w:val="yellow"/>
              </w:rPr>
              <w:t>[■ base amount]</w:t>
            </w:r>
            <w:r>
              <w:rPr>
                <w:b w:val="0"/>
                <w:i w:val="0"/>
                <w:sz w:val="16"/>
              </w:rPr>
              <w:t xml:space="preserve"> + </w:t>
            </w:r>
            <w:r>
              <w:rPr>
                <w:b w:val="0"/>
                <w:i w:val="0"/>
                <w:color w:val="804000"/>
                <w:sz w:val="16"/>
                <w:highlight w:val="yellow"/>
              </w:rPr>
              <w:t>[■ share %]</w:t>
            </w:r>
            <w:r>
              <w:rPr>
                <w:b w:val="0"/>
                <w:i w:val="0"/>
                <w:sz w:val="16"/>
              </w:rPr>
              <w:t xml:space="preserve"> of </w:t>
            </w:r>
            <w:r>
              <w:rPr>
                <w:b w:val="0"/>
                <w:i w:val="0"/>
                <w:color w:val="804000"/>
                <w:sz w:val="16"/>
                <w:highlight w:val="yellow"/>
              </w:rPr>
              <w:t>[■ defined revenue]</w:t>
            </w:r>
            <w:r>
              <w:rPr>
                <w:b w:val="0"/>
                <w:i w:val="0"/>
                <w:sz w:val="16"/>
              </w:rPr>
              <w:t>; alternatives A–E per Article 11.</w:t>
            </w:r>
          </w:p>
        </w:tc>
      </w:tr>
      <w:tr>
        <w:tc>
          <w:tcPr>
            <w:tcW w:type="dxa" w:w="2448"/>
            <w:vAlign w:val="center"/>
          </w:tcPr>
          <w:p>
            <w:r>
              <w:rPr>
                <w:b w:val="0"/>
                <w:i w:val="0"/>
                <w:sz w:val="16"/>
              </w:rPr>
              <w:t>Maintenance</w:t>
            </w:r>
          </w:p>
        </w:tc>
        <w:tc>
          <w:tcPr>
            <w:tcW w:type="dxa" w:w="7632"/>
            <w:vAlign w:val="center"/>
          </w:tcPr>
          <w:p>
            <w:r>
              <w:rPr>
                <w:b w:val="0"/>
                <w:i w:val="0"/>
                <w:sz w:val="16"/>
              </w:rPr>
              <w:t xml:space="preserve">RIVR Tech bears routine/preventive/SLA-corrective maintenance; catastrophic restoration of Tribal Assets: insurance first then </w:t>
            </w:r>
            <w:r>
              <w:rPr>
                <w:b w:val="0"/>
                <w:i w:val="0"/>
                <w:color w:val="804000"/>
                <w:sz w:val="16"/>
                <w:highlight w:val="yellow"/>
              </w:rPr>
              <w:t>[■ cost-share formula]</w:t>
            </w:r>
            <w:r>
              <w:rPr>
                <w:b w:val="0"/>
                <w:i w:val="0"/>
                <w:sz w:val="16"/>
              </w:rPr>
              <w:t>.</w:t>
            </w:r>
          </w:p>
        </w:tc>
      </w:tr>
      <w:tr>
        <w:tc>
          <w:tcPr>
            <w:tcW w:type="dxa" w:w="2448"/>
            <w:shd w:val="clear" w:color="auto" w:fill="F2F2F2"/>
            <w:vAlign w:val="center"/>
          </w:tcPr>
          <w:p>
            <w:r>
              <w:rPr>
                <w:b w:val="0"/>
                <w:i w:val="0"/>
                <w:sz w:val="16"/>
              </w:rPr>
              <w:t>Replacement capital</w:t>
            </w:r>
          </w:p>
        </w:tc>
        <w:tc>
          <w:tcPr>
            <w:tcW w:type="dxa" w:w="7632"/>
            <w:shd w:val="clear" w:color="auto" w:fill="F2F2F2"/>
            <w:vAlign w:val="center"/>
          </w:tcPr>
          <w:p>
            <w:r>
              <w:rPr>
                <w:b/>
                <w:i w:val="0"/>
                <w:color w:val="C00000"/>
                <w:sz w:val="16"/>
              </w:rPr>
              <w:t>[BUSINESS DECISION REQUIRED]</w:t>
            </w:r>
            <w:r>
              <w:rPr>
                <w:b w:val="0"/>
                <w:i w:val="0"/>
                <w:sz w:val="16"/>
              </w:rPr>
              <w:t xml:space="preserve"> Recommended: RIVR Tech-funded like-for-like replacement of Tribal Assets to sustain service; reserve mechanism </w:t>
            </w:r>
            <w:r>
              <w:rPr>
                <w:b w:val="0"/>
                <w:i w:val="0"/>
                <w:color w:val="804000"/>
                <w:sz w:val="16"/>
                <w:highlight w:val="yellow"/>
              </w:rPr>
              <w:t>[■ capex/reserve terms]</w:t>
            </w:r>
            <w:r>
              <w:rPr>
                <w:b w:val="0"/>
                <w:i w:val="0"/>
                <w:sz w:val="16"/>
              </w:rPr>
              <w:t>.</w:t>
            </w:r>
          </w:p>
        </w:tc>
      </w:tr>
      <w:tr>
        <w:tc>
          <w:tcPr>
            <w:tcW w:type="dxa" w:w="2448"/>
            <w:vAlign w:val="center"/>
          </w:tcPr>
          <w:p>
            <w:r>
              <w:rPr>
                <w:b w:val="0"/>
                <w:i w:val="0"/>
                <w:sz w:val="16"/>
              </w:rPr>
              <w:t>Reserved Tribal capacity</w:t>
            </w:r>
          </w:p>
        </w:tc>
        <w:tc>
          <w:tcPr>
            <w:tcW w:type="dxa" w:w="7632"/>
            <w:vAlign w:val="center"/>
          </w:tcPr>
          <w:p>
            <w:r>
              <w:rPr>
                <w:b w:val="0"/>
                <w:i w:val="0"/>
                <w:sz w:val="16"/>
              </w:rPr>
              <w:t xml:space="preserve">Reserved dark fiber/lit capacity carved out of the IRU: </w:t>
            </w:r>
            <w:r>
              <w:rPr>
                <w:b w:val="0"/>
                <w:i w:val="0"/>
                <w:color w:val="804000"/>
                <w:sz w:val="16"/>
                <w:highlight w:val="yellow"/>
              </w:rPr>
              <w:t>[■ reserved strands/bandwidth]</w:t>
            </w:r>
            <w:r>
              <w:rPr>
                <w:b w:val="0"/>
                <w:i w:val="0"/>
                <w:sz w:val="16"/>
              </w:rPr>
              <w:t>.</w:t>
            </w:r>
          </w:p>
        </w:tc>
      </w:tr>
      <w:tr>
        <w:tc>
          <w:tcPr>
            <w:tcW w:type="dxa" w:w="2448"/>
            <w:shd w:val="clear" w:color="auto" w:fill="F2F2F2"/>
            <w:vAlign w:val="center"/>
          </w:tcPr>
          <w:p>
            <w:r>
              <w:rPr>
                <w:b w:val="0"/>
                <w:i w:val="0"/>
                <w:sz w:val="16"/>
              </w:rPr>
              <w:t>Service levels</w:t>
            </w:r>
          </w:p>
        </w:tc>
        <w:tc>
          <w:tcPr>
            <w:tcW w:type="dxa" w:w="7632"/>
            <w:shd w:val="clear" w:color="auto" w:fill="F2F2F2"/>
            <w:vAlign w:val="center"/>
          </w:tcPr>
          <w:p>
            <w:r>
              <w:rPr>
                <w:b w:val="0"/>
                <w:i w:val="0"/>
                <w:sz w:val="16"/>
              </w:rPr>
              <w:t>Availability 99.9%; severity-based SLA; NOC 24 hours per day, 7 days per week, 365 days per year.</w:t>
            </w:r>
          </w:p>
        </w:tc>
      </w:tr>
      <w:tr>
        <w:tc>
          <w:tcPr>
            <w:tcW w:type="dxa" w:w="2448"/>
            <w:vAlign w:val="center"/>
          </w:tcPr>
          <w:p>
            <w:r>
              <w:rPr>
                <w:b w:val="0"/>
                <w:i w:val="0"/>
                <w:sz w:val="16"/>
              </w:rPr>
              <w:t>Term / termination</w:t>
            </w:r>
          </w:p>
        </w:tc>
        <w:tc>
          <w:tcPr>
            <w:tcW w:type="dxa" w:w="7632"/>
            <w:vAlign w:val="center"/>
          </w:tcPr>
          <w:p>
            <w:r>
              <w:rPr>
                <w:b w:val="0"/>
                <w:i w:val="0"/>
                <w:sz w:val="16"/>
              </w:rPr>
              <w:t>For cause with cure: 30-day monetary / 60-day non-monetary; grant/compliance termination per 2 CFR 200.339–200.343 (Remedies for noncompliance; termination); title returns to Lumbee Tribe.</w:t>
            </w:r>
          </w:p>
        </w:tc>
      </w:tr>
      <w:tr>
        <w:tc>
          <w:tcPr>
            <w:tcW w:type="dxa" w:w="2448"/>
            <w:shd w:val="clear" w:color="auto" w:fill="F2F2F2"/>
            <w:vAlign w:val="center"/>
          </w:tcPr>
          <w:p>
            <w:r>
              <w:rPr>
                <w:b w:val="0"/>
                <w:i w:val="0"/>
                <w:sz w:val="16"/>
              </w:rPr>
              <w:t>Step-in / transition</w:t>
            </w:r>
          </w:p>
        </w:tc>
        <w:tc>
          <w:tcPr>
            <w:tcW w:type="dxa" w:w="7632"/>
            <w:shd w:val="clear" w:color="auto" w:fill="F2F2F2"/>
            <w:vAlign w:val="center"/>
          </w:tcPr>
          <w:p>
            <w:r>
              <w:rPr>
                <w:b w:val="0"/>
                <w:i w:val="0"/>
                <w:sz w:val="16"/>
              </w:rPr>
              <w:t>Tribal step-in on defined triggers (emergency step-in immediate, upon notice, where continuity of Essential Services, public safety, or compliance with the Award is imminently threatened); up to 12 months transition assistance.</w:t>
            </w:r>
          </w:p>
        </w:tc>
      </w:tr>
      <w:tr>
        <w:tc>
          <w:tcPr>
            <w:tcW w:type="dxa" w:w="2448"/>
            <w:vAlign w:val="center"/>
          </w:tcPr>
          <w:p>
            <w:r>
              <w:rPr>
                <w:b w:val="0"/>
                <w:i w:val="0"/>
                <w:sz w:val="16"/>
              </w:rPr>
              <w:t>Grant compliance</w:t>
            </w:r>
          </w:p>
        </w:tc>
        <w:tc>
          <w:tcPr>
            <w:tcW w:type="dxa" w:w="7632"/>
            <w:vAlign w:val="center"/>
          </w:tcPr>
          <w:p>
            <w:r>
              <w:rPr>
                <w:b/>
                <w:i w:val="0"/>
                <w:color w:val="7F007F"/>
                <w:sz w:val="16"/>
              </w:rPr>
              <w:t>[GRANT COMPLIANCE REVIEW REQUIRED]</w:t>
            </w:r>
            <w:r>
              <w:rPr>
                <w:b w:val="0"/>
                <w:i w:val="0"/>
                <w:sz w:val="16"/>
              </w:rPr>
              <w:t xml:space="preserve"> 2 CFR Part 200, as revised effective October 1, 2024 (equipment/supplies and disposition threshold $10,000; single-audit threshold $1,000,000), BABA, §889, NEPA/NHPA, program income, records/audit flowed down via the Grant-Compliance Rider.</w:t>
            </w:r>
          </w:p>
        </w:tc>
      </w:tr>
      <w:tr>
        <w:tc>
          <w:tcPr>
            <w:tcW w:type="dxa" w:w="2448"/>
            <w:shd w:val="clear" w:color="auto" w:fill="F2F2F2"/>
            <w:vAlign w:val="center"/>
          </w:tcPr>
          <w:p>
            <w:r>
              <w:rPr>
                <w:b w:val="0"/>
                <w:i w:val="0"/>
                <w:sz w:val="16"/>
              </w:rPr>
              <w:t>Insurance</w:t>
            </w:r>
          </w:p>
        </w:tc>
        <w:tc>
          <w:tcPr>
            <w:tcW w:type="dxa" w:w="7632"/>
            <w:shd w:val="clear" w:color="auto" w:fill="F2F2F2"/>
            <w:vAlign w:val="center"/>
          </w:tcPr>
          <w:p>
            <w:r>
              <w:rPr>
                <w:b w:val="0"/>
                <w:i w:val="0"/>
                <w:sz w:val="16"/>
              </w:rPr>
              <w:t>CGL $2,000,000/occurrence ($4,000,000 agg.); umbrella $10,000,000; cyber $5,000,000; builders risk full replacement cost of the Tribal Assets; Lumbee Tribe as additional insured. (2 CFR 200.310 (Insurance coverage))</w:t>
            </w:r>
          </w:p>
        </w:tc>
      </w:tr>
      <w:tr>
        <w:tc>
          <w:tcPr>
            <w:tcW w:type="dxa" w:w="2448"/>
            <w:vAlign w:val="center"/>
          </w:tcPr>
          <w:p>
            <w:r>
              <w:rPr>
                <w:b w:val="0"/>
                <w:i w:val="0"/>
                <w:sz w:val="16"/>
              </w:rPr>
              <w:t>Governing law</w:t>
            </w:r>
          </w:p>
        </w:tc>
        <w:tc>
          <w:tcPr>
            <w:tcW w:type="dxa" w:w="7632"/>
            <w:vAlign w:val="center"/>
          </w:tcPr>
          <w:p>
            <w:r>
              <w:rPr>
                <w:b w:val="0"/>
                <w:i w:val="0"/>
                <w:sz w:val="16"/>
              </w:rPr>
              <w:t xml:space="preserve">NOT SELECTED. [ALT-A: North Carolina law/courts] / [ALT-B: Tribal law/forum] / [ALT-C: arbitration, neutral seat]. </w:t>
            </w:r>
            <w:r>
              <w:rPr>
                <w:b/>
                <w:i w:val="0"/>
                <w:color w:val="0000C0"/>
                <w:sz w:val="16"/>
              </w:rPr>
              <w:t>[ATTORNEY REVIEW REQUIRED]</w:t>
            </w:r>
          </w:p>
        </w:tc>
      </w:tr>
      <w:tr>
        <w:tc>
          <w:tcPr>
            <w:tcW w:type="dxa" w:w="2448"/>
            <w:shd w:val="clear" w:color="auto" w:fill="F2F2F2"/>
            <w:vAlign w:val="center"/>
          </w:tcPr>
          <w:p>
            <w:r>
              <w:rPr>
                <w:b w:val="0"/>
                <w:i w:val="0"/>
                <w:sz w:val="16"/>
              </w:rPr>
              <w:t>Sovereign immunity</w:t>
            </w:r>
          </w:p>
        </w:tc>
        <w:tc>
          <w:tcPr>
            <w:tcW w:type="dxa" w:w="7632"/>
            <w:shd w:val="clear" w:color="auto" w:fill="F2F2F2"/>
            <w:vAlign w:val="center"/>
          </w:tcPr>
          <w:p>
            <w:r>
              <w:rPr>
                <w:b w:val="0"/>
                <w:i w:val="0"/>
                <w:sz w:val="16"/>
              </w:rPr>
              <w:t xml:space="preserve">NOT DECIDED. [ALT-1: no waiver] / [ALT-2: narrow limited waiver, capped assets/forum] / [ALT-3: waiver for arbitration + enforcement]. </w:t>
            </w:r>
            <w:r>
              <w:rPr>
                <w:b/>
                <w:i w:val="0"/>
                <w:color w:val="0000C0"/>
                <w:sz w:val="16"/>
              </w:rPr>
              <w:t>[ATTORNEY REVIEW REQUIRED]</w:t>
            </w:r>
          </w:p>
        </w:tc>
      </w:tr>
      <w:tr>
        <w:tc>
          <w:tcPr>
            <w:tcW w:type="dxa" w:w="2448"/>
            <w:vAlign w:val="center"/>
          </w:tcPr>
          <w:p>
            <w:r>
              <w:rPr>
                <w:b w:val="0"/>
                <w:i w:val="0"/>
                <w:sz w:val="16"/>
              </w:rPr>
              <w:t>Conditions precedent</w:t>
            </w:r>
          </w:p>
        </w:tc>
        <w:tc>
          <w:tcPr>
            <w:tcW w:type="dxa" w:w="7632"/>
            <w:vAlign w:val="center"/>
          </w:tcPr>
          <w:p>
            <w:r>
              <w:rPr>
                <w:b w:val="0"/>
                <w:i w:val="0"/>
                <w:sz w:val="16"/>
              </w:rPr>
              <w:t xml:space="preserve">Eligibility confirmation; TBCP Award; Tribal Council authorization; NTIA approvals/non-objection; NEPA/NHPA clearance; financing; final network design; definitive documents. </w:t>
            </w:r>
            <w:r>
              <w:rPr>
                <w:b/>
                <w:i w:val="0"/>
                <w:color w:val="7F007F"/>
                <w:sz w:val="16"/>
              </w:rPr>
              <w:t>[GRANT COMPLIANCE REVIEW REQUIRED]</w:t>
            </w:r>
            <w:r>
              <w:rPr>
                <w:b w:val="0"/>
                <w:i w:val="0"/>
                <w:sz w:val="16"/>
              </w:rPr>
              <w:t xml:space="preserve"> </w:t>
            </w:r>
            <w:r>
              <w:rPr>
                <w:b/>
                <w:i w:val="0"/>
                <w:color w:val="0000C0"/>
                <w:sz w:val="16"/>
              </w:rPr>
              <w:t>[ATTORNEY REVIEW REQUIRED]</w:t>
            </w:r>
          </w:p>
        </w:tc>
      </w:tr>
    </w:tbl>
    <w:p>
      <w:pPr>
        <w:pStyle w:val="Heading1"/>
        <w:spacing w:before="240" w:after="120"/>
      </w:pPr>
      <w:r>
        <w:rPr>
          <w:rFonts w:ascii="Calibri" w:hAnsi="Calibri"/>
          <w:b/>
          <w:color w:val="1F3864"/>
          <w:sz w:val="26"/>
        </w:rPr>
        <w:t>ARTICLE 24.  RESPONSIBILITY MATRIX (RACI)</w:t>
      </w:r>
    </w:p>
    <w:p>
      <w:r>
        <w:rPr>
          <w:b w:val="0"/>
          <w:i w:val="0"/>
        </w:rPr>
        <w:t>The following RACI matrix allocates each key activity across the four principal actors. It is a planning tool; the definitive documents control in the event of any conflict.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320"/>
            <w:shd w:val="clear" w:color="auto" w:fill="1F3864"/>
            <w:vAlign w:val="center"/>
          </w:tcPr>
          <w:p>
            <w:pPr>
              <w:jc w:val="center"/>
            </w:pPr>
            <w:r>
              <w:rPr>
                <w:b/>
                <w:color w:val="FFFFFF"/>
                <w:sz w:val="16"/>
              </w:rPr>
              <w:t>Key Activity</w:t>
            </w:r>
          </w:p>
        </w:tc>
        <w:tc>
          <w:tcPr>
            <w:tcW w:type="dxa" w:w="1440"/>
            <w:shd w:val="clear" w:color="auto" w:fill="1F3864"/>
            <w:vAlign w:val="center"/>
          </w:tcPr>
          <w:p>
            <w:pPr>
              <w:jc w:val="center"/>
            </w:pPr>
            <w:r>
              <w:rPr>
                <w:b/>
                <w:color w:val="FFFFFF"/>
                <w:sz w:val="16"/>
              </w:rPr>
              <w:t>Lumbee Tribe</w:t>
            </w:r>
          </w:p>
        </w:tc>
        <w:tc>
          <w:tcPr>
            <w:tcW w:type="dxa" w:w="1584"/>
            <w:shd w:val="clear" w:color="auto" w:fill="1F3864"/>
            <w:vAlign w:val="center"/>
          </w:tcPr>
          <w:p>
            <w:pPr>
              <w:jc w:val="center"/>
            </w:pPr>
            <w:r>
              <w:rPr>
                <w:b/>
                <w:color w:val="FFFFFF"/>
                <w:sz w:val="16"/>
              </w:rPr>
              <w:t>RIVR Tech</w:t>
            </w:r>
          </w:p>
        </w:tc>
        <w:tc>
          <w:tcPr>
            <w:tcW w:type="dxa" w:w="1440"/>
            <w:shd w:val="clear" w:color="auto" w:fill="1F3864"/>
            <w:vAlign w:val="center"/>
          </w:tcPr>
          <w:p>
            <w:pPr>
              <w:jc w:val="center"/>
            </w:pPr>
            <w:r>
              <w:rPr>
                <w:b/>
                <w:color w:val="FFFFFF"/>
                <w:sz w:val="16"/>
              </w:rPr>
              <w:t>Grant Counsel</w:t>
            </w:r>
          </w:p>
        </w:tc>
        <w:tc>
          <w:tcPr>
            <w:tcW w:type="dxa" w:w="1296"/>
            <w:shd w:val="clear" w:color="auto" w:fill="1F3864"/>
            <w:vAlign w:val="center"/>
          </w:tcPr>
          <w:p>
            <w:pPr>
              <w:jc w:val="center"/>
            </w:pPr>
            <w:r>
              <w:rPr>
                <w:b/>
                <w:color w:val="FFFFFF"/>
                <w:sz w:val="16"/>
              </w:rPr>
              <w:t>NTIA</w:t>
            </w:r>
          </w:p>
        </w:tc>
      </w:tr>
      <w:tr>
        <w:tc>
          <w:tcPr>
            <w:tcW w:type="dxa" w:w="4320"/>
            <w:vAlign w:val="center"/>
          </w:tcPr>
          <w:p>
            <w:r>
              <w:rPr>
                <w:b w:val="0"/>
                <w:i w:val="0"/>
                <w:sz w:val="16"/>
              </w:rPr>
              <w:t>Grant application</w:t>
            </w:r>
          </w:p>
        </w:tc>
        <w:tc>
          <w:tcPr>
            <w:tcW w:type="dxa" w:w="1440"/>
            <w:vAlign w:val="center"/>
          </w:tcPr>
          <w:p>
            <w:pPr>
              <w:jc w:val="center"/>
            </w:pPr>
            <w:r>
              <w:rPr>
                <w:b w:val="0"/>
                <w:i w:val="0"/>
                <w:sz w:val="16"/>
              </w:rPr>
              <w:t>A</w:t>
            </w:r>
          </w:p>
        </w:tc>
        <w:tc>
          <w:tcPr>
            <w:tcW w:type="dxa" w:w="1584"/>
            <w:vAlign w:val="center"/>
          </w:tcPr>
          <w:p>
            <w:pPr>
              <w:jc w:val="center"/>
            </w:pPr>
            <w:r>
              <w:rPr>
                <w:b w:val="0"/>
                <w:i w:val="0"/>
                <w:sz w:val="16"/>
              </w:rPr>
              <w:t>C</w:t>
            </w:r>
          </w:p>
        </w:tc>
        <w:tc>
          <w:tcPr>
            <w:tcW w:type="dxa" w:w="1440"/>
            <w:vAlign w:val="center"/>
          </w:tcPr>
          <w:p>
            <w:pPr>
              <w:jc w:val="center"/>
            </w:pPr>
            <w:r>
              <w:rPr>
                <w:b w:val="0"/>
                <w:i w:val="0"/>
                <w:sz w:val="16"/>
              </w:rPr>
              <w:t>R</w:t>
            </w:r>
          </w:p>
        </w:tc>
        <w:tc>
          <w:tcPr>
            <w:tcW w:type="dxa" w:w="1296"/>
            <w:vAlign w:val="center"/>
          </w:tcPr>
          <w:p>
            <w:pPr>
              <w:jc w:val="center"/>
            </w:pPr>
            <w:r>
              <w:rPr>
                <w:b w:val="0"/>
                <w:i w:val="0"/>
                <w:sz w:val="16"/>
              </w:rPr>
              <w:t>I</w:t>
            </w:r>
          </w:p>
        </w:tc>
      </w:tr>
      <w:tr>
        <w:tc>
          <w:tcPr>
            <w:tcW w:type="dxa" w:w="4320"/>
            <w:shd w:val="clear" w:color="auto" w:fill="F2F2F2"/>
            <w:vAlign w:val="center"/>
          </w:tcPr>
          <w:p>
            <w:r>
              <w:rPr>
                <w:b w:val="0"/>
                <w:i w:val="0"/>
                <w:sz w:val="16"/>
              </w:rPr>
              <w:t>Network design</w:t>
            </w:r>
          </w:p>
        </w:tc>
        <w:tc>
          <w:tcPr>
            <w:tcW w:type="dxa" w:w="1440"/>
            <w:shd w:val="clear" w:color="auto" w:fill="F2F2F2"/>
            <w:vAlign w:val="center"/>
          </w:tcPr>
          <w:p>
            <w:pPr>
              <w:jc w:val="center"/>
            </w:pPr>
            <w:r>
              <w:rPr>
                <w:b w:val="0"/>
                <w:i w:val="0"/>
                <w:sz w:val="16"/>
              </w:rPr>
              <w:t>C</w:t>
            </w:r>
          </w:p>
        </w:tc>
        <w:tc>
          <w:tcPr>
            <w:tcW w:type="dxa" w:w="1584"/>
            <w:shd w:val="clear" w:color="auto" w:fill="F2F2F2"/>
            <w:vAlign w:val="center"/>
          </w:tcPr>
          <w:p>
            <w:pPr>
              <w:jc w:val="center"/>
            </w:pPr>
            <w:r>
              <w:rPr>
                <w:b w:val="0"/>
                <w:i w:val="0"/>
                <w:sz w:val="16"/>
              </w:rPr>
              <w:t>A/R</w:t>
            </w:r>
          </w:p>
        </w:tc>
        <w:tc>
          <w:tcPr>
            <w:tcW w:type="dxa" w:w="1440"/>
            <w:shd w:val="clear" w:color="auto" w:fill="F2F2F2"/>
            <w:vAlign w:val="center"/>
          </w:tcPr>
          <w:p>
            <w:pPr>
              <w:jc w:val="center"/>
            </w:pPr>
            <w:r>
              <w:rPr>
                <w:b w:val="0"/>
                <w:i w:val="0"/>
                <w:sz w:val="16"/>
              </w:rPr>
              <w:t>I</w:t>
            </w:r>
          </w:p>
        </w:tc>
        <w:tc>
          <w:tcPr>
            <w:tcW w:type="dxa" w:w="1296"/>
            <w:shd w:val="clear" w:color="auto" w:fill="F2F2F2"/>
            <w:vAlign w:val="center"/>
          </w:tcPr>
          <w:p>
            <w:pPr>
              <w:jc w:val="center"/>
            </w:pPr>
            <w:r>
              <w:rPr>
                <w:b w:val="0"/>
                <w:i w:val="0"/>
                <w:sz w:val="16"/>
              </w:rPr>
              <w:t>I</w:t>
            </w:r>
          </w:p>
        </w:tc>
      </w:tr>
      <w:tr>
        <w:tc>
          <w:tcPr>
            <w:tcW w:type="dxa" w:w="4320"/>
            <w:vAlign w:val="center"/>
          </w:tcPr>
          <w:p>
            <w:r>
              <w:rPr>
                <w:b w:val="0"/>
                <w:i w:val="0"/>
                <w:sz w:val="16"/>
              </w:rPr>
              <w:t>Environmental / historic review (NEPA/NHPA)</w:t>
            </w:r>
          </w:p>
        </w:tc>
        <w:tc>
          <w:tcPr>
            <w:tcW w:type="dxa" w:w="1440"/>
            <w:vAlign w:val="center"/>
          </w:tcPr>
          <w:p>
            <w:pPr>
              <w:jc w:val="center"/>
            </w:pPr>
            <w:r>
              <w:rPr>
                <w:b w:val="0"/>
                <w:i w:val="0"/>
                <w:sz w:val="16"/>
              </w:rPr>
              <w:t>A</w:t>
            </w:r>
          </w:p>
        </w:tc>
        <w:tc>
          <w:tcPr>
            <w:tcW w:type="dxa" w:w="1584"/>
            <w:vAlign w:val="center"/>
          </w:tcPr>
          <w:p>
            <w:pPr>
              <w:jc w:val="center"/>
            </w:pPr>
            <w:r>
              <w:rPr>
                <w:b w:val="0"/>
                <w:i w:val="0"/>
                <w:sz w:val="16"/>
              </w:rPr>
              <w:t>R</w:t>
            </w:r>
          </w:p>
        </w:tc>
        <w:tc>
          <w:tcPr>
            <w:tcW w:type="dxa" w:w="1440"/>
            <w:vAlign w:val="center"/>
          </w:tcPr>
          <w:p>
            <w:pPr>
              <w:jc w:val="center"/>
            </w:pPr>
            <w:r>
              <w:rPr>
                <w:b w:val="0"/>
                <w:i w:val="0"/>
                <w:sz w:val="16"/>
              </w:rPr>
              <w:t>C</w:t>
            </w:r>
          </w:p>
        </w:tc>
        <w:tc>
          <w:tcPr>
            <w:tcW w:type="dxa" w:w="1296"/>
            <w:vAlign w:val="center"/>
          </w:tcPr>
          <w:p>
            <w:pPr>
              <w:jc w:val="center"/>
            </w:pPr>
            <w:r>
              <w:rPr>
                <w:b w:val="0"/>
                <w:i w:val="0"/>
                <w:sz w:val="16"/>
              </w:rPr>
              <w:t>I</w:t>
            </w:r>
          </w:p>
        </w:tc>
      </w:tr>
      <w:tr>
        <w:tc>
          <w:tcPr>
            <w:tcW w:type="dxa" w:w="4320"/>
            <w:shd w:val="clear" w:color="auto" w:fill="F2F2F2"/>
            <w:vAlign w:val="center"/>
          </w:tcPr>
          <w:p>
            <w:r>
              <w:rPr>
                <w:b w:val="0"/>
                <w:i w:val="0"/>
                <w:sz w:val="16"/>
              </w:rPr>
              <w:t>Permitting / easements / rights-of-way</w:t>
            </w:r>
          </w:p>
        </w:tc>
        <w:tc>
          <w:tcPr>
            <w:tcW w:type="dxa" w:w="1440"/>
            <w:shd w:val="clear" w:color="auto" w:fill="F2F2F2"/>
            <w:vAlign w:val="center"/>
          </w:tcPr>
          <w:p>
            <w:pPr>
              <w:jc w:val="center"/>
            </w:pPr>
            <w:r>
              <w:rPr>
                <w:b w:val="0"/>
                <w:i w:val="0"/>
                <w:sz w:val="16"/>
              </w:rPr>
              <w:t>A</w:t>
            </w:r>
          </w:p>
        </w:tc>
        <w:tc>
          <w:tcPr>
            <w:tcW w:type="dxa" w:w="1584"/>
            <w:shd w:val="clear" w:color="auto" w:fill="F2F2F2"/>
            <w:vAlign w:val="center"/>
          </w:tcPr>
          <w:p>
            <w:pPr>
              <w:jc w:val="center"/>
            </w:pPr>
            <w:r>
              <w:rPr>
                <w:b w:val="0"/>
                <w:i w:val="0"/>
                <w:sz w:val="16"/>
              </w:rPr>
              <w:t>R</w:t>
            </w:r>
          </w:p>
        </w:tc>
        <w:tc>
          <w:tcPr>
            <w:tcW w:type="dxa" w:w="1440"/>
            <w:shd w:val="clear" w:color="auto" w:fill="F2F2F2"/>
            <w:vAlign w:val="center"/>
          </w:tcPr>
          <w:p>
            <w:pPr>
              <w:jc w:val="center"/>
            </w:pPr>
            <w:r>
              <w:rPr>
                <w:b w:val="0"/>
                <w:i w:val="0"/>
                <w:sz w:val="16"/>
              </w:rPr>
              <w:t>C</w:t>
            </w:r>
          </w:p>
        </w:tc>
        <w:tc>
          <w:tcPr>
            <w:tcW w:type="dxa" w:w="1296"/>
            <w:shd w:val="clear" w:color="auto" w:fill="F2F2F2"/>
            <w:vAlign w:val="center"/>
          </w:tcPr>
          <w:p>
            <w:pPr>
              <w:jc w:val="center"/>
            </w:pPr>
            <w:r>
              <w:rPr>
                <w:b w:val="0"/>
                <w:i w:val="0"/>
                <w:sz w:val="16"/>
              </w:rPr>
              <w:t>I</w:t>
            </w:r>
          </w:p>
        </w:tc>
      </w:tr>
      <w:tr>
        <w:tc>
          <w:tcPr>
            <w:tcW w:type="dxa" w:w="4320"/>
            <w:vAlign w:val="center"/>
          </w:tcPr>
          <w:p>
            <w:r>
              <w:rPr>
                <w:b w:val="0"/>
                <w:i w:val="0"/>
                <w:sz w:val="16"/>
              </w:rPr>
              <w:t>Procurement (grant-compliant)</w:t>
            </w:r>
          </w:p>
        </w:tc>
        <w:tc>
          <w:tcPr>
            <w:tcW w:type="dxa" w:w="1440"/>
            <w:vAlign w:val="center"/>
          </w:tcPr>
          <w:p>
            <w:pPr>
              <w:jc w:val="center"/>
            </w:pPr>
            <w:r>
              <w:rPr>
                <w:b w:val="0"/>
                <w:i w:val="0"/>
                <w:sz w:val="16"/>
              </w:rPr>
              <w:t>A</w:t>
            </w:r>
          </w:p>
        </w:tc>
        <w:tc>
          <w:tcPr>
            <w:tcW w:type="dxa" w:w="1584"/>
            <w:vAlign w:val="center"/>
          </w:tcPr>
          <w:p>
            <w:pPr>
              <w:jc w:val="center"/>
            </w:pPr>
            <w:r>
              <w:rPr>
                <w:b w:val="0"/>
                <w:i w:val="0"/>
                <w:sz w:val="16"/>
              </w:rPr>
              <w:t>R</w:t>
            </w:r>
          </w:p>
        </w:tc>
        <w:tc>
          <w:tcPr>
            <w:tcW w:type="dxa" w:w="1440"/>
            <w:vAlign w:val="center"/>
          </w:tcPr>
          <w:p>
            <w:pPr>
              <w:jc w:val="center"/>
            </w:pPr>
            <w:r>
              <w:rPr>
                <w:b w:val="0"/>
                <w:i w:val="0"/>
                <w:sz w:val="16"/>
              </w:rPr>
              <w:t>C</w:t>
            </w:r>
          </w:p>
        </w:tc>
        <w:tc>
          <w:tcPr>
            <w:tcW w:type="dxa" w:w="1296"/>
            <w:vAlign w:val="center"/>
          </w:tcPr>
          <w:p>
            <w:pPr>
              <w:jc w:val="center"/>
            </w:pPr>
            <w:r>
              <w:rPr>
                <w:b w:val="0"/>
                <w:i w:val="0"/>
                <w:sz w:val="16"/>
              </w:rPr>
              <w:t>I</w:t>
            </w:r>
          </w:p>
        </w:tc>
      </w:tr>
      <w:tr>
        <w:tc>
          <w:tcPr>
            <w:tcW w:type="dxa" w:w="4320"/>
            <w:shd w:val="clear" w:color="auto" w:fill="F2F2F2"/>
            <w:vAlign w:val="center"/>
          </w:tcPr>
          <w:p>
            <w:r>
              <w:rPr>
                <w:b w:val="0"/>
                <w:i w:val="0"/>
                <w:sz w:val="16"/>
              </w:rPr>
              <w:t>Construction</w:t>
            </w:r>
          </w:p>
        </w:tc>
        <w:tc>
          <w:tcPr>
            <w:tcW w:type="dxa" w:w="1440"/>
            <w:shd w:val="clear" w:color="auto" w:fill="F2F2F2"/>
            <w:vAlign w:val="center"/>
          </w:tcPr>
          <w:p>
            <w:pPr>
              <w:jc w:val="center"/>
            </w:pPr>
            <w:r>
              <w:rPr>
                <w:b w:val="0"/>
                <w:i w:val="0"/>
                <w:sz w:val="16"/>
              </w:rPr>
              <w:t>I</w:t>
            </w:r>
          </w:p>
        </w:tc>
        <w:tc>
          <w:tcPr>
            <w:tcW w:type="dxa" w:w="1584"/>
            <w:shd w:val="clear" w:color="auto" w:fill="F2F2F2"/>
            <w:vAlign w:val="center"/>
          </w:tcPr>
          <w:p>
            <w:pPr>
              <w:jc w:val="center"/>
            </w:pPr>
            <w:r>
              <w:rPr>
                <w:b w:val="0"/>
                <w:i w:val="0"/>
                <w:sz w:val="16"/>
              </w:rPr>
              <w:t>A/R</w:t>
            </w:r>
          </w:p>
        </w:tc>
        <w:tc>
          <w:tcPr>
            <w:tcW w:type="dxa" w:w="1440"/>
            <w:shd w:val="clear" w:color="auto" w:fill="F2F2F2"/>
            <w:vAlign w:val="center"/>
          </w:tcPr>
          <w:p>
            <w:pPr>
              <w:jc w:val="center"/>
            </w:pPr>
            <w:r>
              <w:rPr>
                <w:b w:val="0"/>
                <w:i w:val="0"/>
                <w:sz w:val="16"/>
              </w:rPr>
              <w:t>I</w:t>
            </w:r>
          </w:p>
        </w:tc>
        <w:tc>
          <w:tcPr>
            <w:tcW w:type="dxa" w:w="1296"/>
            <w:shd w:val="clear" w:color="auto" w:fill="F2F2F2"/>
            <w:vAlign w:val="center"/>
          </w:tcPr>
          <w:p>
            <w:pPr>
              <w:jc w:val="center"/>
            </w:pPr>
            <w:r>
              <w:rPr>
                <w:b w:val="0"/>
                <w:i w:val="0"/>
                <w:sz w:val="16"/>
              </w:rPr>
              <w:t>I</w:t>
            </w:r>
          </w:p>
        </w:tc>
      </w:tr>
      <w:tr>
        <w:tc>
          <w:tcPr>
            <w:tcW w:type="dxa" w:w="4320"/>
            <w:vAlign w:val="center"/>
          </w:tcPr>
          <w:p>
            <w:r>
              <w:rPr>
                <w:b w:val="0"/>
                <w:i w:val="0"/>
                <w:sz w:val="16"/>
              </w:rPr>
              <w:t>Testing / acceptance</w:t>
            </w:r>
          </w:p>
        </w:tc>
        <w:tc>
          <w:tcPr>
            <w:tcW w:type="dxa" w:w="1440"/>
            <w:vAlign w:val="center"/>
          </w:tcPr>
          <w:p>
            <w:pPr>
              <w:jc w:val="center"/>
            </w:pPr>
            <w:r>
              <w:rPr>
                <w:b w:val="0"/>
                <w:i w:val="0"/>
                <w:sz w:val="16"/>
              </w:rPr>
              <w:t>A</w:t>
            </w:r>
          </w:p>
        </w:tc>
        <w:tc>
          <w:tcPr>
            <w:tcW w:type="dxa" w:w="1584"/>
            <w:vAlign w:val="center"/>
          </w:tcPr>
          <w:p>
            <w:pPr>
              <w:jc w:val="center"/>
            </w:pPr>
            <w:r>
              <w:rPr>
                <w:b w:val="0"/>
                <w:i w:val="0"/>
                <w:sz w:val="16"/>
              </w:rPr>
              <w:t>R</w:t>
            </w:r>
          </w:p>
        </w:tc>
        <w:tc>
          <w:tcPr>
            <w:tcW w:type="dxa" w:w="1440"/>
            <w:vAlign w:val="center"/>
          </w:tcPr>
          <w:p>
            <w:pPr>
              <w:jc w:val="center"/>
            </w:pPr>
            <w:r>
              <w:rPr>
                <w:b w:val="0"/>
                <w:i w:val="0"/>
                <w:sz w:val="16"/>
              </w:rPr>
              <w:t>I</w:t>
            </w:r>
          </w:p>
        </w:tc>
        <w:tc>
          <w:tcPr>
            <w:tcW w:type="dxa" w:w="1296"/>
            <w:vAlign w:val="center"/>
          </w:tcPr>
          <w:p>
            <w:pPr>
              <w:jc w:val="center"/>
            </w:pPr>
            <w:r>
              <w:rPr>
                <w:b w:val="0"/>
                <w:i w:val="0"/>
                <w:sz w:val="16"/>
              </w:rPr>
              <w:t>I</w:t>
            </w:r>
          </w:p>
        </w:tc>
      </w:tr>
      <w:tr>
        <w:tc>
          <w:tcPr>
            <w:tcW w:type="dxa" w:w="4320"/>
            <w:shd w:val="clear" w:color="auto" w:fill="F2F2F2"/>
            <w:vAlign w:val="center"/>
          </w:tcPr>
          <w:p>
            <w:r>
              <w:rPr>
                <w:b w:val="0"/>
                <w:i w:val="0"/>
                <w:sz w:val="16"/>
              </w:rPr>
              <w:t>Asset ownership records / inventory</w:t>
            </w:r>
          </w:p>
        </w:tc>
        <w:tc>
          <w:tcPr>
            <w:tcW w:type="dxa" w:w="1440"/>
            <w:shd w:val="clear" w:color="auto" w:fill="F2F2F2"/>
            <w:vAlign w:val="center"/>
          </w:tcPr>
          <w:p>
            <w:pPr>
              <w:jc w:val="center"/>
            </w:pPr>
            <w:r>
              <w:rPr>
                <w:b w:val="0"/>
                <w:i w:val="0"/>
                <w:sz w:val="16"/>
              </w:rPr>
              <w:t>A/R</w:t>
            </w:r>
          </w:p>
        </w:tc>
        <w:tc>
          <w:tcPr>
            <w:tcW w:type="dxa" w:w="1584"/>
            <w:shd w:val="clear" w:color="auto" w:fill="F2F2F2"/>
            <w:vAlign w:val="center"/>
          </w:tcPr>
          <w:p>
            <w:pPr>
              <w:jc w:val="center"/>
            </w:pPr>
            <w:r>
              <w:rPr>
                <w:b w:val="0"/>
                <w:i w:val="0"/>
                <w:sz w:val="16"/>
              </w:rPr>
              <w:t>C</w:t>
            </w:r>
          </w:p>
        </w:tc>
        <w:tc>
          <w:tcPr>
            <w:tcW w:type="dxa" w:w="1440"/>
            <w:shd w:val="clear" w:color="auto" w:fill="F2F2F2"/>
            <w:vAlign w:val="center"/>
          </w:tcPr>
          <w:p>
            <w:pPr>
              <w:jc w:val="center"/>
            </w:pPr>
            <w:r>
              <w:rPr>
                <w:b w:val="0"/>
                <w:i w:val="0"/>
                <w:sz w:val="16"/>
              </w:rPr>
              <w:t>C</w:t>
            </w:r>
          </w:p>
        </w:tc>
        <w:tc>
          <w:tcPr>
            <w:tcW w:type="dxa" w:w="1296"/>
            <w:shd w:val="clear" w:color="auto" w:fill="F2F2F2"/>
            <w:vAlign w:val="center"/>
          </w:tcPr>
          <w:p>
            <w:pPr>
              <w:jc w:val="center"/>
            </w:pPr>
            <w:r>
              <w:rPr>
                <w:b w:val="0"/>
                <w:i w:val="0"/>
                <w:sz w:val="16"/>
              </w:rPr>
              <w:t>I</w:t>
            </w:r>
          </w:p>
        </w:tc>
      </w:tr>
      <w:tr>
        <w:tc>
          <w:tcPr>
            <w:tcW w:type="dxa" w:w="4320"/>
            <w:vAlign w:val="center"/>
          </w:tcPr>
          <w:p>
            <w:r>
              <w:rPr>
                <w:b w:val="0"/>
                <w:i w:val="0"/>
                <w:sz w:val="16"/>
              </w:rPr>
              <w:t>Operations (NOC / network mgmt)</w:t>
            </w:r>
          </w:p>
        </w:tc>
        <w:tc>
          <w:tcPr>
            <w:tcW w:type="dxa" w:w="1440"/>
            <w:vAlign w:val="center"/>
          </w:tcPr>
          <w:p>
            <w:pPr>
              <w:jc w:val="center"/>
            </w:pPr>
            <w:r>
              <w:rPr>
                <w:b w:val="0"/>
                <w:i w:val="0"/>
                <w:sz w:val="16"/>
              </w:rPr>
              <w:t>I</w:t>
            </w:r>
          </w:p>
        </w:tc>
        <w:tc>
          <w:tcPr>
            <w:tcW w:type="dxa" w:w="1584"/>
            <w:vAlign w:val="center"/>
          </w:tcPr>
          <w:p>
            <w:pPr>
              <w:jc w:val="center"/>
            </w:pPr>
            <w:r>
              <w:rPr>
                <w:b w:val="0"/>
                <w:i w:val="0"/>
                <w:sz w:val="16"/>
              </w:rPr>
              <w:t>A/R</w:t>
            </w:r>
          </w:p>
        </w:tc>
        <w:tc>
          <w:tcPr>
            <w:tcW w:type="dxa" w:w="1440"/>
            <w:vAlign w:val="center"/>
          </w:tcPr>
          <w:p>
            <w:pPr>
              <w:jc w:val="center"/>
            </w:pPr>
            <w:r>
              <w:rPr>
                <w:b w:val="0"/>
                <w:i w:val="0"/>
                <w:sz w:val="16"/>
              </w:rPr>
              <w:t>I</w:t>
            </w:r>
          </w:p>
        </w:tc>
        <w:tc>
          <w:tcPr>
            <w:tcW w:type="dxa" w:w="1296"/>
            <w:vAlign w:val="center"/>
          </w:tcPr>
          <w:p>
            <w:pPr>
              <w:jc w:val="center"/>
            </w:pPr>
            <w:r>
              <w:rPr>
                <w:b w:val="0"/>
                <w:i w:val="0"/>
                <w:sz w:val="16"/>
              </w:rPr>
              <w:t>I</w:t>
            </w:r>
          </w:p>
        </w:tc>
      </w:tr>
      <w:tr>
        <w:tc>
          <w:tcPr>
            <w:tcW w:type="dxa" w:w="4320"/>
            <w:shd w:val="clear" w:color="auto" w:fill="F2F2F2"/>
            <w:vAlign w:val="center"/>
          </w:tcPr>
          <w:p>
            <w:r>
              <w:rPr>
                <w:b w:val="0"/>
                <w:i w:val="0"/>
                <w:sz w:val="16"/>
              </w:rPr>
              <w:t>Billing / collections</w:t>
            </w:r>
          </w:p>
        </w:tc>
        <w:tc>
          <w:tcPr>
            <w:tcW w:type="dxa" w:w="1440"/>
            <w:shd w:val="clear" w:color="auto" w:fill="F2F2F2"/>
            <w:vAlign w:val="center"/>
          </w:tcPr>
          <w:p>
            <w:pPr>
              <w:jc w:val="center"/>
            </w:pPr>
            <w:r>
              <w:rPr>
                <w:b w:val="0"/>
                <w:i w:val="0"/>
                <w:sz w:val="16"/>
              </w:rPr>
              <w:t>I</w:t>
            </w:r>
          </w:p>
        </w:tc>
        <w:tc>
          <w:tcPr>
            <w:tcW w:type="dxa" w:w="1584"/>
            <w:shd w:val="clear" w:color="auto" w:fill="F2F2F2"/>
            <w:vAlign w:val="center"/>
          </w:tcPr>
          <w:p>
            <w:pPr>
              <w:jc w:val="center"/>
            </w:pPr>
            <w:r>
              <w:rPr>
                <w:b w:val="0"/>
                <w:i w:val="0"/>
                <w:sz w:val="16"/>
              </w:rPr>
              <w:t>A/R</w:t>
            </w:r>
          </w:p>
        </w:tc>
        <w:tc>
          <w:tcPr>
            <w:tcW w:type="dxa" w:w="1440"/>
            <w:shd w:val="clear" w:color="auto" w:fill="F2F2F2"/>
            <w:vAlign w:val="center"/>
          </w:tcPr>
          <w:p>
            <w:pPr>
              <w:jc w:val="center"/>
            </w:pPr>
            <w:r>
              <w:rPr>
                <w:b w:val="0"/>
                <w:i w:val="0"/>
                <w:sz w:val="16"/>
              </w:rPr>
              <w:t>I</w:t>
            </w:r>
          </w:p>
        </w:tc>
        <w:tc>
          <w:tcPr>
            <w:tcW w:type="dxa" w:w="1296"/>
            <w:shd w:val="clear" w:color="auto" w:fill="F2F2F2"/>
            <w:vAlign w:val="center"/>
          </w:tcPr>
          <w:p>
            <w:pPr>
              <w:jc w:val="center"/>
            </w:pPr>
            <w:r>
              <w:rPr>
                <w:b w:val="0"/>
                <w:i w:val="0"/>
                <w:sz w:val="16"/>
              </w:rPr>
              <w:t>I</w:t>
            </w:r>
          </w:p>
        </w:tc>
      </w:tr>
      <w:tr>
        <w:tc>
          <w:tcPr>
            <w:tcW w:type="dxa" w:w="4320"/>
            <w:vAlign w:val="center"/>
          </w:tcPr>
          <w:p>
            <w:r>
              <w:rPr>
                <w:b w:val="0"/>
                <w:i w:val="0"/>
                <w:sz w:val="16"/>
              </w:rPr>
              <w:t>Customer service</w:t>
            </w:r>
          </w:p>
        </w:tc>
        <w:tc>
          <w:tcPr>
            <w:tcW w:type="dxa" w:w="1440"/>
            <w:vAlign w:val="center"/>
          </w:tcPr>
          <w:p>
            <w:pPr>
              <w:jc w:val="center"/>
            </w:pPr>
            <w:r>
              <w:rPr>
                <w:b w:val="0"/>
                <w:i w:val="0"/>
                <w:sz w:val="16"/>
              </w:rPr>
              <w:t>I</w:t>
            </w:r>
          </w:p>
        </w:tc>
        <w:tc>
          <w:tcPr>
            <w:tcW w:type="dxa" w:w="1584"/>
            <w:vAlign w:val="center"/>
          </w:tcPr>
          <w:p>
            <w:pPr>
              <w:jc w:val="center"/>
            </w:pPr>
            <w:r>
              <w:rPr>
                <w:b w:val="0"/>
                <w:i w:val="0"/>
                <w:sz w:val="16"/>
              </w:rPr>
              <w:t>A/R</w:t>
            </w:r>
          </w:p>
        </w:tc>
        <w:tc>
          <w:tcPr>
            <w:tcW w:type="dxa" w:w="1440"/>
            <w:vAlign w:val="center"/>
          </w:tcPr>
          <w:p>
            <w:pPr>
              <w:jc w:val="center"/>
            </w:pPr>
            <w:r>
              <w:rPr>
                <w:b w:val="0"/>
                <w:i w:val="0"/>
                <w:sz w:val="16"/>
              </w:rPr>
              <w:t>I</w:t>
            </w:r>
          </w:p>
        </w:tc>
        <w:tc>
          <w:tcPr>
            <w:tcW w:type="dxa" w:w="1296"/>
            <w:vAlign w:val="center"/>
          </w:tcPr>
          <w:p>
            <w:pPr>
              <w:jc w:val="center"/>
            </w:pPr>
            <w:r>
              <w:rPr>
                <w:b w:val="0"/>
                <w:i w:val="0"/>
                <w:sz w:val="16"/>
              </w:rPr>
              <w:t>I</w:t>
            </w:r>
          </w:p>
        </w:tc>
      </w:tr>
      <w:tr>
        <w:tc>
          <w:tcPr>
            <w:tcW w:type="dxa" w:w="4320"/>
            <w:shd w:val="clear" w:color="auto" w:fill="F2F2F2"/>
            <w:vAlign w:val="center"/>
          </w:tcPr>
          <w:p>
            <w:r>
              <w:rPr>
                <w:b w:val="0"/>
                <w:i w:val="0"/>
                <w:sz w:val="16"/>
              </w:rPr>
              <w:t>Marketing / sales</w:t>
            </w:r>
          </w:p>
        </w:tc>
        <w:tc>
          <w:tcPr>
            <w:tcW w:type="dxa" w:w="1440"/>
            <w:shd w:val="clear" w:color="auto" w:fill="F2F2F2"/>
            <w:vAlign w:val="center"/>
          </w:tcPr>
          <w:p>
            <w:pPr>
              <w:jc w:val="center"/>
            </w:pPr>
            <w:r>
              <w:rPr>
                <w:b w:val="0"/>
                <w:i w:val="0"/>
                <w:sz w:val="16"/>
              </w:rPr>
              <w:t>I</w:t>
            </w:r>
          </w:p>
        </w:tc>
        <w:tc>
          <w:tcPr>
            <w:tcW w:type="dxa" w:w="1584"/>
            <w:shd w:val="clear" w:color="auto" w:fill="F2F2F2"/>
            <w:vAlign w:val="center"/>
          </w:tcPr>
          <w:p>
            <w:pPr>
              <w:jc w:val="center"/>
            </w:pPr>
            <w:r>
              <w:rPr>
                <w:b w:val="0"/>
                <w:i w:val="0"/>
                <w:sz w:val="16"/>
              </w:rPr>
              <w:t>A/R</w:t>
            </w:r>
          </w:p>
        </w:tc>
        <w:tc>
          <w:tcPr>
            <w:tcW w:type="dxa" w:w="1440"/>
            <w:shd w:val="clear" w:color="auto" w:fill="F2F2F2"/>
            <w:vAlign w:val="center"/>
          </w:tcPr>
          <w:p>
            <w:pPr>
              <w:jc w:val="center"/>
            </w:pPr>
            <w:r>
              <w:rPr>
                <w:b w:val="0"/>
                <w:i w:val="0"/>
                <w:sz w:val="16"/>
              </w:rPr>
              <w:t>I</w:t>
            </w:r>
          </w:p>
        </w:tc>
        <w:tc>
          <w:tcPr>
            <w:tcW w:type="dxa" w:w="1296"/>
            <w:shd w:val="clear" w:color="auto" w:fill="F2F2F2"/>
            <w:vAlign w:val="center"/>
          </w:tcPr>
          <w:p>
            <w:pPr>
              <w:jc w:val="center"/>
            </w:pPr>
            <w:r>
              <w:rPr>
                <w:b w:val="0"/>
                <w:i w:val="0"/>
                <w:sz w:val="16"/>
              </w:rPr>
              <w:t>I</w:t>
            </w:r>
          </w:p>
        </w:tc>
      </w:tr>
      <w:tr>
        <w:tc>
          <w:tcPr>
            <w:tcW w:type="dxa" w:w="4320"/>
            <w:vAlign w:val="center"/>
          </w:tcPr>
          <w:p>
            <w:r>
              <w:rPr>
                <w:b w:val="0"/>
                <w:i w:val="0"/>
                <w:sz w:val="16"/>
              </w:rPr>
              <w:t>Regulatory compliance (telecom)</w:t>
            </w:r>
          </w:p>
        </w:tc>
        <w:tc>
          <w:tcPr>
            <w:tcW w:type="dxa" w:w="1440"/>
            <w:vAlign w:val="center"/>
          </w:tcPr>
          <w:p>
            <w:pPr>
              <w:jc w:val="center"/>
            </w:pPr>
            <w:r>
              <w:rPr>
                <w:b w:val="0"/>
                <w:i w:val="0"/>
                <w:sz w:val="16"/>
              </w:rPr>
              <w:t>C</w:t>
            </w:r>
          </w:p>
        </w:tc>
        <w:tc>
          <w:tcPr>
            <w:tcW w:type="dxa" w:w="1584"/>
            <w:vAlign w:val="center"/>
          </w:tcPr>
          <w:p>
            <w:pPr>
              <w:jc w:val="center"/>
            </w:pPr>
            <w:r>
              <w:rPr>
                <w:b w:val="0"/>
                <w:i w:val="0"/>
                <w:sz w:val="16"/>
              </w:rPr>
              <w:t>A/R</w:t>
            </w:r>
          </w:p>
        </w:tc>
        <w:tc>
          <w:tcPr>
            <w:tcW w:type="dxa" w:w="1440"/>
            <w:vAlign w:val="center"/>
          </w:tcPr>
          <w:p>
            <w:pPr>
              <w:jc w:val="center"/>
            </w:pPr>
            <w:r>
              <w:rPr>
                <w:b w:val="0"/>
                <w:i w:val="0"/>
                <w:sz w:val="16"/>
              </w:rPr>
              <w:t>C</w:t>
            </w:r>
          </w:p>
        </w:tc>
        <w:tc>
          <w:tcPr>
            <w:tcW w:type="dxa" w:w="1296"/>
            <w:vAlign w:val="center"/>
          </w:tcPr>
          <w:p>
            <w:pPr>
              <w:jc w:val="center"/>
            </w:pPr>
            <w:r>
              <w:rPr>
                <w:b w:val="0"/>
                <w:i w:val="0"/>
                <w:sz w:val="16"/>
              </w:rPr>
              <w:t>I</w:t>
            </w:r>
          </w:p>
        </w:tc>
      </w:tr>
      <w:tr>
        <w:tc>
          <w:tcPr>
            <w:tcW w:type="dxa" w:w="4320"/>
            <w:shd w:val="clear" w:color="auto" w:fill="F2F2F2"/>
            <w:vAlign w:val="center"/>
          </w:tcPr>
          <w:p>
            <w:r>
              <w:rPr>
                <w:b w:val="0"/>
                <w:i w:val="0"/>
                <w:sz w:val="16"/>
              </w:rPr>
              <w:t>Grant reporting to NTIA</w:t>
            </w:r>
          </w:p>
        </w:tc>
        <w:tc>
          <w:tcPr>
            <w:tcW w:type="dxa" w:w="1440"/>
            <w:shd w:val="clear" w:color="auto" w:fill="F2F2F2"/>
            <w:vAlign w:val="center"/>
          </w:tcPr>
          <w:p>
            <w:pPr>
              <w:jc w:val="center"/>
            </w:pPr>
            <w:r>
              <w:rPr>
                <w:b w:val="0"/>
                <w:i w:val="0"/>
                <w:sz w:val="16"/>
              </w:rPr>
              <w:t>A</w:t>
            </w:r>
          </w:p>
        </w:tc>
        <w:tc>
          <w:tcPr>
            <w:tcW w:type="dxa" w:w="1584"/>
            <w:shd w:val="clear" w:color="auto" w:fill="F2F2F2"/>
            <w:vAlign w:val="center"/>
          </w:tcPr>
          <w:p>
            <w:pPr>
              <w:jc w:val="center"/>
            </w:pPr>
            <w:r>
              <w:rPr>
                <w:b w:val="0"/>
                <w:i w:val="0"/>
                <w:sz w:val="16"/>
              </w:rPr>
              <w:t>R</w:t>
            </w:r>
          </w:p>
        </w:tc>
        <w:tc>
          <w:tcPr>
            <w:tcW w:type="dxa" w:w="1440"/>
            <w:shd w:val="clear" w:color="auto" w:fill="F2F2F2"/>
            <w:vAlign w:val="center"/>
          </w:tcPr>
          <w:p>
            <w:pPr>
              <w:jc w:val="center"/>
            </w:pPr>
            <w:r>
              <w:rPr>
                <w:b w:val="0"/>
                <w:i w:val="0"/>
                <w:sz w:val="16"/>
              </w:rPr>
              <w:t>C</w:t>
            </w:r>
          </w:p>
        </w:tc>
        <w:tc>
          <w:tcPr>
            <w:tcW w:type="dxa" w:w="1296"/>
            <w:shd w:val="clear" w:color="auto" w:fill="F2F2F2"/>
            <w:vAlign w:val="center"/>
          </w:tcPr>
          <w:p>
            <w:pPr>
              <w:jc w:val="center"/>
            </w:pPr>
            <w:r>
              <w:rPr>
                <w:b w:val="0"/>
                <w:i w:val="0"/>
                <w:sz w:val="16"/>
              </w:rPr>
              <w:t>I</w:t>
            </w:r>
          </w:p>
        </w:tc>
      </w:tr>
      <w:tr>
        <w:tc>
          <w:tcPr>
            <w:tcW w:type="dxa" w:w="4320"/>
            <w:vAlign w:val="center"/>
          </w:tcPr>
          <w:p>
            <w:r>
              <w:rPr>
                <w:b w:val="0"/>
                <w:i w:val="0"/>
                <w:sz w:val="16"/>
              </w:rPr>
              <w:t>Audit (single audit / Award)</w:t>
            </w:r>
          </w:p>
        </w:tc>
        <w:tc>
          <w:tcPr>
            <w:tcW w:type="dxa" w:w="1440"/>
            <w:vAlign w:val="center"/>
          </w:tcPr>
          <w:p>
            <w:pPr>
              <w:jc w:val="center"/>
            </w:pPr>
            <w:r>
              <w:rPr>
                <w:b w:val="0"/>
                <w:i w:val="0"/>
                <w:sz w:val="16"/>
              </w:rPr>
              <w:t>A</w:t>
            </w:r>
          </w:p>
        </w:tc>
        <w:tc>
          <w:tcPr>
            <w:tcW w:type="dxa" w:w="1584"/>
            <w:vAlign w:val="center"/>
          </w:tcPr>
          <w:p>
            <w:pPr>
              <w:jc w:val="center"/>
            </w:pPr>
            <w:r>
              <w:rPr>
                <w:b w:val="0"/>
                <w:i w:val="0"/>
                <w:sz w:val="16"/>
              </w:rPr>
              <w:t>R</w:t>
            </w:r>
          </w:p>
        </w:tc>
        <w:tc>
          <w:tcPr>
            <w:tcW w:type="dxa" w:w="1440"/>
            <w:vAlign w:val="center"/>
          </w:tcPr>
          <w:p>
            <w:pPr>
              <w:jc w:val="center"/>
            </w:pPr>
            <w:r>
              <w:rPr>
                <w:b w:val="0"/>
                <w:i w:val="0"/>
                <w:sz w:val="16"/>
              </w:rPr>
              <w:t>C</w:t>
            </w:r>
          </w:p>
        </w:tc>
        <w:tc>
          <w:tcPr>
            <w:tcW w:type="dxa" w:w="1296"/>
            <w:vAlign w:val="center"/>
          </w:tcPr>
          <w:p>
            <w:pPr>
              <w:jc w:val="center"/>
            </w:pPr>
            <w:r>
              <w:rPr>
                <w:b w:val="0"/>
                <w:i w:val="0"/>
                <w:sz w:val="16"/>
              </w:rPr>
              <w:t>I</w:t>
            </w:r>
          </w:p>
        </w:tc>
      </w:tr>
      <w:tr>
        <w:tc>
          <w:tcPr>
            <w:tcW w:type="dxa" w:w="4320"/>
            <w:shd w:val="clear" w:color="auto" w:fill="F2F2F2"/>
            <w:vAlign w:val="center"/>
          </w:tcPr>
          <w:p>
            <w:r>
              <w:rPr>
                <w:b w:val="0"/>
                <w:i w:val="0"/>
                <w:sz w:val="16"/>
              </w:rPr>
              <w:t>Maintenance</w:t>
            </w:r>
          </w:p>
        </w:tc>
        <w:tc>
          <w:tcPr>
            <w:tcW w:type="dxa" w:w="1440"/>
            <w:shd w:val="clear" w:color="auto" w:fill="F2F2F2"/>
            <w:vAlign w:val="center"/>
          </w:tcPr>
          <w:p>
            <w:pPr>
              <w:jc w:val="center"/>
            </w:pPr>
            <w:r>
              <w:rPr>
                <w:b w:val="0"/>
                <w:i w:val="0"/>
                <w:sz w:val="16"/>
              </w:rPr>
              <w:t>I</w:t>
            </w:r>
          </w:p>
        </w:tc>
        <w:tc>
          <w:tcPr>
            <w:tcW w:type="dxa" w:w="1584"/>
            <w:shd w:val="clear" w:color="auto" w:fill="F2F2F2"/>
            <w:vAlign w:val="center"/>
          </w:tcPr>
          <w:p>
            <w:pPr>
              <w:jc w:val="center"/>
            </w:pPr>
            <w:r>
              <w:rPr>
                <w:b w:val="0"/>
                <w:i w:val="0"/>
                <w:sz w:val="16"/>
              </w:rPr>
              <w:t>A/R</w:t>
            </w:r>
          </w:p>
        </w:tc>
        <w:tc>
          <w:tcPr>
            <w:tcW w:type="dxa" w:w="1440"/>
            <w:shd w:val="clear" w:color="auto" w:fill="F2F2F2"/>
            <w:vAlign w:val="center"/>
          </w:tcPr>
          <w:p>
            <w:pPr>
              <w:jc w:val="center"/>
            </w:pPr>
            <w:r>
              <w:rPr>
                <w:b w:val="0"/>
                <w:i w:val="0"/>
                <w:sz w:val="16"/>
              </w:rPr>
              <w:t>I</w:t>
            </w:r>
          </w:p>
        </w:tc>
        <w:tc>
          <w:tcPr>
            <w:tcW w:type="dxa" w:w="1296"/>
            <w:shd w:val="clear" w:color="auto" w:fill="F2F2F2"/>
            <w:vAlign w:val="center"/>
          </w:tcPr>
          <w:p>
            <w:pPr>
              <w:jc w:val="center"/>
            </w:pPr>
            <w:r>
              <w:rPr>
                <w:b w:val="0"/>
                <w:i w:val="0"/>
                <w:sz w:val="16"/>
              </w:rPr>
              <w:t>I</w:t>
            </w:r>
          </w:p>
        </w:tc>
      </w:tr>
      <w:tr>
        <w:tc>
          <w:tcPr>
            <w:tcW w:type="dxa" w:w="4320"/>
            <w:vAlign w:val="center"/>
          </w:tcPr>
          <w:p>
            <w:r>
              <w:rPr>
                <w:b w:val="0"/>
                <w:i w:val="0"/>
                <w:sz w:val="16"/>
              </w:rPr>
              <w:t>Capital replacement</w:t>
            </w:r>
          </w:p>
        </w:tc>
        <w:tc>
          <w:tcPr>
            <w:tcW w:type="dxa" w:w="1440"/>
            <w:vAlign w:val="center"/>
          </w:tcPr>
          <w:p>
            <w:pPr>
              <w:jc w:val="center"/>
            </w:pPr>
            <w:r>
              <w:rPr>
                <w:b w:val="0"/>
                <w:i w:val="0"/>
                <w:sz w:val="16"/>
              </w:rPr>
              <w:t>C</w:t>
            </w:r>
          </w:p>
        </w:tc>
        <w:tc>
          <w:tcPr>
            <w:tcW w:type="dxa" w:w="1584"/>
            <w:vAlign w:val="center"/>
          </w:tcPr>
          <w:p>
            <w:pPr>
              <w:jc w:val="center"/>
            </w:pPr>
            <w:r>
              <w:rPr>
                <w:b w:val="0"/>
                <w:i w:val="0"/>
                <w:sz w:val="16"/>
              </w:rPr>
              <w:t>A/R</w:t>
            </w:r>
          </w:p>
        </w:tc>
        <w:tc>
          <w:tcPr>
            <w:tcW w:type="dxa" w:w="1440"/>
            <w:vAlign w:val="center"/>
          </w:tcPr>
          <w:p>
            <w:pPr>
              <w:jc w:val="center"/>
            </w:pPr>
            <w:r>
              <w:rPr>
                <w:b w:val="0"/>
                <w:i w:val="0"/>
                <w:sz w:val="16"/>
              </w:rPr>
              <w:t>I</w:t>
            </w:r>
          </w:p>
        </w:tc>
        <w:tc>
          <w:tcPr>
            <w:tcW w:type="dxa" w:w="1296"/>
            <w:vAlign w:val="center"/>
          </w:tcPr>
          <w:p>
            <w:pPr>
              <w:jc w:val="center"/>
            </w:pPr>
            <w:r>
              <w:rPr>
                <w:b w:val="0"/>
                <w:i w:val="0"/>
                <w:sz w:val="16"/>
              </w:rPr>
              <w:t>I</w:t>
            </w:r>
          </w:p>
        </w:tc>
      </w:tr>
      <w:tr>
        <w:tc>
          <w:tcPr>
            <w:tcW w:type="dxa" w:w="4320"/>
            <w:shd w:val="clear" w:color="auto" w:fill="F2F2F2"/>
            <w:vAlign w:val="center"/>
          </w:tcPr>
          <w:p>
            <w:r>
              <w:rPr>
                <w:b w:val="0"/>
                <w:i w:val="0"/>
                <w:sz w:val="16"/>
              </w:rPr>
              <w:t>Cybersecurity</w:t>
            </w:r>
          </w:p>
        </w:tc>
        <w:tc>
          <w:tcPr>
            <w:tcW w:type="dxa" w:w="1440"/>
            <w:shd w:val="clear" w:color="auto" w:fill="F2F2F2"/>
            <w:vAlign w:val="center"/>
          </w:tcPr>
          <w:p>
            <w:pPr>
              <w:jc w:val="center"/>
            </w:pPr>
            <w:r>
              <w:rPr>
                <w:b w:val="0"/>
                <w:i w:val="0"/>
                <w:sz w:val="16"/>
              </w:rPr>
              <w:t>C</w:t>
            </w:r>
          </w:p>
        </w:tc>
        <w:tc>
          <w:tcPr>
            <w:tcW w:type="dxa" w:w="1584"/>
            <w:shd w:val="clear" w:color="auto" w:fill="F2F2F2"/>
            <w:vAlign w:val="center"/>
          </w:tcPr>
          <w:p>
            <w:pPr>
              <w:jc w:val="center"/>
            </w:pPr>
            <w:r>
              <w:rPr>
                <w:b w:val="0"/>
                <w:i w:val="0"/>
                <w:sz w:val="16"/>
              </w:rPr>
              <w:t>A/R</w:t>
            </w:r>
          </w:p>
        </w:tc>
        <w:tc>
          <w:tcPr>
            <w:tcW w:type="dxa" w:w="1440"/>
            <w:shd w:val="clear" w:color="auto" w:fill="F2F2F2"/>
            <w:vAlign w:val="center"/>
          </w:tcPr>
          <w:p>
            <w:pPr>
              <w:jc w:val="center"/>
            </w:pPr>
            <w:r>
              <w:rPr>
                <w:b w:val="0"/>
                <w:i w:val="0"/>
                <w:sz w:val="16"/>
              </w:rPr>
              <w:t>C</w:t>
            </w:r>
          </w:p>
        </w:tc>
        <w:tc>
          <w:tcPr>
            <w:tcW w:type="dxa" w:w="1296"/>
            <w:shd w:val="clear" w:color="auto" w:fill="F2F2F2"/>
            <w:vAlign w:val="center"/>
          </w:tcPr>
          <w:p>
            <w:pPr>
              <w:jc w:val="center"/>
            </w:pPr>
            <w:r>
              <w:rPr>
                <w:b w:val="0"/>
                <w:i w:val="0"/>
                <w:sz w:val="16"/>
              </w:rPr>
              <w:t>I</w:t>
            </w:r>
          </w:p>
        </w:tc>
      </w:tr>
      <w:tr>
        <w:tc>
          <w:tcPr>
            <w:tcW w:type="dxa" w:w="4320"/>
            <w:vAlign w:val="center"/>
          </w:tcPr>
          <w:p>
            <w:r>
              <w:rPr>
                <w:b w:val="0"/>
                <w:i w:val="0"/>
                <w:sz w:val="16"/>
              </w:rPr>
              <w:t>Step-in / transition</w:t>
            </w:r>
          </w:p>
        </w:tc>
        <w:tc>
          <w:tcPr>
            <w:tcW w:type="dxa" w:w="1440"/>
            <w:vAlign w:val="center"/>
          </w:tcPr>
          <w:p>
            <w:pPr>
              <w:jc w:val="center"/>
            </w:pPr>
            <w:r>
              <w:rPr>
                <w:b w:val="0"/>
                <w:i w:val="0"/>
                <w:sz w:val="16"/>
              </w:rPr>
              <w:t>A/R</w:t>
            </w:r>
          </w:p>
        </w:tc>
        <w:tc>
          <w:tcPr>
            <w:tcW w:type="dxa" w:w="1584"/>
            <w:vAlign w:val="center"/>
          </w:tcPr>
          <w:p>
            <w:pPr>
              <w:jc w:val="center"/>
            </w:pPr>
            <w:r>
              <w:rPr>
                <w:b w:val="0"/>
                <w:i w:val="0"/>
                <w:sz w:val="16"/>
              </w:rPr>
              <w:t>C</w:t>
            </w:r>
          </w:p>
        </w:tc>
        <w:tc>
          <w:tcPr>
            <w:tcW w:type="dxa" w:w="1440"/>
            <w:vAlign w:val="center"/>
          </w:tcPr>
          <w:p>
            <w:pPr>
              <w:jc w:val="center"/>
            </w:pPr>
            <w:r>
              <w:rPr>
                <w:b w:val="0"/>
                <w:i w:val="0"/>
                <w:sz w:val="16"/>
              </w:rPr>
              <w:t>C</w:t>
            </w:r>
          </w:p>
        </w:tc>
        <w:tc>
          <w:tcPr>
            <w:tcW w:type="dxa" w:w="1296"/>
            <w:vAlign w:val="center"/>
          </w:tcPr>
          <w:p>
            <w:pPr>
              <w:jc w:val="center"/>
            </w:pPr>
            <w:r>
              <w:rPr>
                <w:b w:val="0"/>
                <w:i w:val="0"/>
                <w:sz w:val="16"/>
              </w:rPr>
              <w:t>I</w:t>
            </w:r>
          </w:p>
        </w:tc>
      </w:tr>
    </w:tbl>
    <w:p>
      <w:pPr>
        <w:pStyle w:val="Heading2"/>
        <w:spacing w:before="160" w:after="60"/>
      </w:pPr>
      <w:r>
        <w:rPr>
          <w:rFonts w:ascii="Calibri" w:hAnsi="Calibri"/>
          <w:b/>
          <w:color w:val="000000"/>
          <w:sz w:val="22"/>
        </w:rPr>
        <w:t>24.1  RACI Legend</w:t>
      </w:r>
    </w:p>
    <w:p>
      <w:pPr>
        <w:pStyle w:val="ListBullet"/>
      </w:pPr>
      <w:r>
        <w:rPr>
          <w:b w:val="0"/>
          <w:i w:val="0"/>
        </w:rPr>
        <w:t>R — Responsible: performs the work / executes the activity.</w:t>
      </w:r>
    </w:p>
    <w:p>
      <w:pPr>
        <w:pStyle w:val="ListBullet"/>
      </w:pPr>
      <w:r>
        <w:rPr>
          <w:b w:val="0"/>
          <w:i w:val="0"/>
        </w:rPr>
        <w:t>A — Accountable: owns the outcome and answers for it (one accountable party per activity; “A/R” where the same actor both owns and performs).</w:t>
      </w:r>
    </w:p>
    <w:p>
      <w:pPr>
        <w:pStyle w:val="ListBullet"/>
      </w:pPr>
      <w:r>
        <w:rPr>
          <w:b w:val="0"/>
          <w:i w:val="0"/>
        </w:rPr>
        <w:t>C — Consulted: provides input/expertise before or during the activity.</w:t>
      </w:r>
    </w:p>
    <w:p>
      <w:pPr>
        <w:pStyle w:val="ListBullet"/>
      </w:pPr>
      <w:r>
        <w:rPr>
          <w:b w:val="0"/>
          <w:i w:val="0"/>
        </w:rPr>
        <w:t>I — Informed: kept apprised of progress and outcomes.</w:t>
      </w:r>
    </w:p>
    <w:p>
      <w:pPr>
        <w:ind w:left="504"/>
      </w:pPr>
      <w:r>
        <w:rPr>
          <w:b/>
          <w:color w:val="7F007F"/>
        </w:rPr>
        <w:t xml:space="preserve">[GRANT COMPLIANCE REVIEW REQUIRED]  </w:t>
      </w:r>
      <w:r>
        <w:rPr>
          <w:i/>
          <w:color w:val="595959"/>
        </w:rPr>
        <w:t>NTIA is shown as Informed for planning purposes; several activities in fact require NTIA approval or non-objection (Article 22). The contractor-vs-subrecipient determination may shift certain Operator cells between Responsible and Accountable.</w:t>
      </w:r>
    </w:p>
    <w:p>
      <w:pPr>
        <w:ind w:left="504"/>
      </w:pPr>
      <w:r>
        <w:rPr>
          <w:b/>
          <w:color w:val="0000C0"/>
        </w:rPr>
        <w:t xml:space="preserve">[ATTORNEY REVIEW REQUIRED]  </w:t>
      </w:r>
      <w:r>
        <w:rPr>
          <w:i/>
          <w:color w:val="595959"/>
        </w:rPr>
        <w:t>This matrix is indicative; final responsibility allocation is set by the definitive documents and the compliance determinations noted above.</w:t>
      </w:r>
    </w:p>
    <w:p>
      <w:pPr>
        <w:pStyle w:val="Heading1"/>
        <w:spacing w:before="240" w:after="120"/>
      </w:pPr>
      <w:r>
        <w:rPr>
          <w:rFonts w:ascii="Calibri" w:hAnsi="Calibri"/>
          <w:b/>
          <w:color w:val="1F3864"/>
          <w:sz w:val="26"/>
        </w:rPr>
        <w:t>ARTICLE 25.  STATUS, RESERVATIONS, AND EXECUTION</w:t>
      </w:r>
    </w:p>
    <w:p>
      <w:r>
        <w:rPr>
          <w:b w:val="0"/>
          <w:i/>
        </w:rPr>
        <w:t>This Summary is a non-binding working draft for discussion. It does not obligate either Party, is not an offer capable of acceptance, and creates no partnership, joint venture, agency, or fiduciary relationship. Binding obligations arise only upon execution of the definitive documents, after satisfaction of the conditions precedent and the approvals identified in Article 22.</w:t>
      </w:r>
    </w:p>
    <w:p>
      <w:pPr>
        <w:ind w:left="504"/>
      </w:pPr>
      <w:r>
        <w:rPr>
          <w:b/>
          <w:color w:val="0000C0"/>
        </w:rPr>
        <w:t xml:space="preserve">[ATTORNEY REVIEW REQUIRED]  </w:t>
      </w:r>
      <w:r>
        <w:rPr>
          <w:i/>
          <w:color w:val="595959"/>
        </w:rPr>
        <w:t>For discussion only; the signature block below is provided to frame execution of a future term sheet and does not itself create a binding agreement. All open terms, eligibility, and approvals must be resolved first.</w:t>
      </w:r>
    </w:p>
    <w:p/>
    <w:p>
      <w:r>
        <w:rPr>
          <w:i/>
        </w:rPr>
        <w:t>IN WITNESS WHEREOF, the Parties have caused this instrument to be executed by their duly authorized representatives as of the Effective Date.</w:t>
      </w:r>
    </w:p>
    <w:p/>
    <w:p>
      <w:r>
        <w:rPr>
          <w:b/>
          <w:color w:val="1F3864"/>
        </w:rPr>
        <w:t>Lumbee Tribe of North Carolina</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authorized Tribal signatory]</w:t>
      </w:r>
    </w:p>
    <w:p>
      <w:pPr>
        <w:ind w:left="360"/>
      </w:pPr>
      <w:r>
        <w:rPr>
          <w:b/>
        </w:rPr>
        <w:t xml:space="preserve">Title:  </w:t>
      </w:r>
      <w:r>
        <w:rPr>
          <w:b w:val="0"/>
          <w:i w:val="0"/>
          <w:color w:val="804000"/>
          <w:highlight w:val="yellow"/>
        </w:rPr>
        <w:t>[■ e.g., Chairman, Lumbee Tribal Council / Tribal Administrator]</w:t>
      </w:r>
    </w:p>
    <w:p>
      <w:pPr>
        <w:ind w:left="360"/>
      </w:pPr>
      <w:r>
        <w:rPr>
          <w:b/>
        </w:rPr>
        <w:t xml:space="preserve">Date:  </w:t>
      </w:r>
      <w:r>
        <w:rPr>
          <w:b w:val="0"/>
          <w:i w:val="0"/>
        </w:rPr>
        <w:t>____________________________________</w:t>
      </w:r>
    </w:p>
    <w:p/>
    <w:p>
      <w:r>
        <w:rPr>
          <w:b/>
          <w:color w:val="1F3864"/>
        </w:rPr>
        <w:t>LREMC Technologies, LLC d/b/a RIVR Tech</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authorized RIVR Tech signatory]</w:t>
      </w:r>
    </w:p>
    <w:p>
      <w:pPr>
        <w:ind w:left="360"/>
      </w:pPr>
      <w:r>
        <w:rPr>
          <w:b/>
        </w:rPr>
        <w:t xml:space="preserve">Title:  </w:t>
      </w:r>
      <w:r>
        <w:rPr>
          <w:b w:val="0"/>
          <w:i w:val="0"/>
          <w:color w:val="804000"/>
          <w:highlight w:val="yellow"/>
        </w:rPr>
        <w:t>[■ e.g., Chief Executive Officer / Manager]</w:t>
      </w:r>
    </w:p>
    <w:p>
      <w:pPr>
        <w:ind w:left="360"/>
      </w:pPr>
      <w:r>
        <w:rPr>
          <w:b/>
        </w:rPr>
        <w:t xml:space="preserve">Date:  </w:t>
      </w:r>
      <w:r>
        <w:rPr>
          <w:b w:val="0"/>
          <w:i w:val="0"/>
        </w:rPr>
        <w:t>____________________________________</w:t>
      </w:r>
    </w:p>
    <w:p/>
    <w:p>
      <w:pPr>
        <w:ind w:left="504"/>
      </w:pPr>
      <w:r>
        <w:rPr>
          <w:b/>
          <w:color w:val="0000C0"/>
        </w:rPr>
        <w:t xml:space="preserve">[ATTORNEY REVIEW REQUIRED]  </w:t>
      </w:r>
      <w:r>
        <w:rPr>
          <w:i/>
          <w:color w:val="595959"/>
        </w:rPr>
        <w:t>Signature authority for the Lumbee Tribe requires proper Tribal Council authorization; signature authority for RIVR Tech requires corporate authorization. Confirm both before execution.</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Draft v0.1 | July 16,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Executive Deal Summary &amp; Term Sheet  —  DRAFT FOR DISCUSSION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