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DOCUMENT 02.03 — NETWORK OPERATIONS, MAINTENANCE &amp; SERVICE LEVEL AGREEMENT</w:t>
      </w:r>
    </w:p>
    <w:p>
      <w:pPr>
        <w:jc w:val="center"/>
      </w:pPr>
      <w:r>
        <w:rPr>
          <w:b/>
          <w:color w:val="1F3864"/>
          <w:sz w:val="48"/>
        </w:rPr>
        <w:t>Network Operations, Maintenance &amp; SLA</w:t>
      </w:r>
    </w:p>
    <w:p>
      <w:pPr>
        <w:jc w:val="center"/>
      </w:pPr>
      <w:r>
        <w:rPr>
          <w:color w:val="595959"/>
          <w:sz w:val="28"/>
        </w:rPr>
        <w:t>Measurable operations, maintenance, restoration, and performance commitments for the hybrid Tribal/RIVR Tech broadband Network</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DRAFT FOR DISCUSSION – SUBJECT TO LEGAL, GRANT AND FINANCIAL REVIEW</w:t>
      </w:r>
    </w:p>
    <w:p/>
    <w:p>
      <w:r>
        <w:rPr>
          <w:b w:val="0"/>
          <w:i w:val="0"/>
        </w:rPr>
        <w:t xml:space="preserve">This Network Operations, Maintenance &amp; Service Level Agreement (this “O&amp;M/SLA”) is entered into as of </w:t>
      </w:r>
      <w:r>
        <w:rPr>
          <w:b w:val="0"/>
          <w:i w:val="0"/>
          <w:color w:val="804000"/>
          <w:highlight w:val="yellow"/>
        </w:rPr>
        <w:t>[■ Effective Date]</w:t>
      </w:r>
      <w:r>
        <w:rPr>
          <w:b w:val="0"/>
          <w:i w:val="0"/>
        </w:rPr>
        <w:t xml:space="preserve"> by and between Lumbee Tribe of North Carolina (the “Lumbee Tribe”) and LREMC Technologies, LLC d/b/a RIVR Tech (“RIVR Tech”), and supplements and is incorporated into the Indefeasible Right of Use Agreement (Document 02.02). It sets measurable operations, maintenance, restoration, and performance requirements for the Network, including the Tribal Assets and their interconnection with the RIVR Tech Existing Network at the Demarcation Points.</w:t>
      </w:r>
    </w:p>
    <w:p>
      <w:pPr>
        <w:pStyle w:val="Heading1"/>
        <w:spacing w:before="240" w:after="120"/>
      </w:pPr>
      <w:r>
        <w:rPr>
          <w:rFonts w:ascii="Calibri" w:hAnsi="Calibri"/>
          <w:b/>
          <w:color w:val="1F3864"/>
          <w:sz w:val="26"/>
        </w:rPr>
        <w:t>ARTICLE 1.  SCOPE, DEFINITIONS, AND RESPONSIBILITY BOUNDARY</w:t>
      </w:r>
    </w:p>
    <w:p>
      <w:pPr>
        <w:pStyle w:val="Heading2"/>
        <w:spacing w:before="160" w:after="60"/>
      </w:pPr>
      <w:r>
        <w:rPr>
          <w:rFonts w:ascii="Calibri" w:hAnsi="Calibri"/>
          <w:b/>
          <w:color w:val="000000"/>
          <w:sz w:val="22"/>
        </w:rPr>
        <w:t>1.1  Scope</w:t>
      </w:r>
    </w:p>
    <w:p>
      <w:r>
        <w:rPr>
          <w:b w:val="0"/>
          <w:i w:val="0"/>
        </w:rPr>
        <w:t>RIVR Tech shall operate, monitor, maintain, and restore the Network to the standards in this O&amp;M/SLA. Responsibility follows the Demarcation Point: RIVR Tech is responsible for both the RIVR Tech Existing Network and, under this O&amp;M/SLA, for operating and maintaining the Tribal Assets on the Lumbee Tribe's behalf, without acquiring title (see Document 02.02, Article 3.3).</w:t>
      </w:r>
    </w:p>
    <w:p>
      <w:pPr>
        <w:pStyle w:val="Heading2"/>
        <w:spacing w:before="160" w:after="60"/>
      </w:pPr>
      <w:r>
        <w:rPr>
          <w:rFonts w:ascii="Calibri" w:hAnsi="Calibri"/>
          <w:b/>
          <w:color w:val="000000"/>
          <w:sz w:val="22"/>
        </w:rPr>
        <w:t>1.2  Priority Definitions</w:t>
      </w:r>
    </w:p>
    <w:p>
      <w:r>
        <w:rPr>
          <w:b w:val="0"/>
          <w:i w:val="0"/>
        </w:rPr>
        <w:t>Trouble is classified Priority 1 (P1) through Priority 4 (P4) per the Severity Matrix in Article 3. “Response” means acknowledgment and ticketing; “Dispatch” means a technician en route or remote work commenced; “Restoration” means service restored to specification. Times run from detection or report, whichever is earlier.</w:t>
      </w:r>
    </w:p>
    <w:p>
      <w:pPr>
        <w:pStyle w:val="Heading2"/>
        <w:spacing w:before="160" w:after="60"/>
      </w:pPr>
      <w:r>
        <w:rPr>
          <w:rFonts w:ascii="Calibri" w:hAnsi="Calibri"/>
          <w:b/>
          <w:color w:val="000000"/>
          <w:sz w:val="22"/>
        </w:rPr>
        <w:t>1.3  Essential Services Priority</w:t>
      </w:r>
    </w:p>
    <w:p>
      <w:r>
        <w:rPr>
          <w:b w:val="0"/>
          <w:i w:val="0"/>
        </w:rPr>
        <w:t>911/E-911, public-safety, Tribal-government, and anchor-institution traffic on the Reserved Tribal Capacity always receive Priority 1 handling regardless of the number of affected end users.</w:t>
      </w:r>
    </w:p>
    <w:p>
      <w:pPr>
        <w:pStyle w:val="Heading1"/>
        <w:spacing w:before="240" w:after="120"/>
      </w:pPr>
      <w:r>
        <w:rPr>
          <w:rFonts w:ascii="Calibri" w:hAnsi="Calibri"/>
          <w:b/>
          <w:color w:val="1F3864"/>
          <w:sz w:val="26"/>
        </w:rPr>
        <w:t>ARTICLE 2.  NETWORK OPERATIONS CENTER AND 24/7 MONITORING</w:t>
      </w:r>
    </w:p>
    <w:p>
      <w:pPr>
        <w:pStyle w:val="Heading2"/>
        <w:spacing w:before="160" w:after="60"/>
      </w:pPr>
      <w:r>
        <w:rPr>
          <w:rFonts w:ascii="Calibri" w:hAnsi="Calibri"/>
          <w:b/>
          <w:color w:val="000000"/>
          <w:sz w:val="22"/>
        </w:rPr>
        <w:t>2.1  24/7/365 NOC</w:t>
      </w:r>
    </w:p>
    <w:p>
      <w:r>
        <w:rPr>
          <w:b w:val="0"/>
          <w:i w:val="0"/>
        </w:rPr>
        <w:t>RIVR Tech shall operate, or cause to be operated, a Network Operations Center staffed 24 hours per day, 7 days per week, 365 days per year, providing continuous surveillance of the Network, alarm management, and trouble coordination.</w:t>
      </w:r>
    </w:p>
    <w:p>
      <w:pPr>
        <w:pStyle w:val="Heading2"/>
        <w:spacing w:before="160" w:after="60"/>
      </w:pPr>
      <w:r>
        <w:rPr>
          <w:rFonts w:ascii="Calibri" w:hAnsi="Calibri"/>
          <w:b/>
          <w:color w:val="000000"/>
          <w:sz w:val="22"/>
        </w:rPr>
        <w:t>2.2  Monitoring Requirements</w:t>
      </w:r>
    </w:p>
    <w:p>
      <w:r>
        <w:rPr>
          <w:b w:val="0"/>
          <w:i w:val="0"/>
        </w:rPr>
        <w:t xml:space="preserve">The NOC shall continuously monitor optical power, link state, node availability, environmental and power alarms at huts/shelters, and performance counters (availability, latency, packet loss, jitter). Polling interval shall not exceed </w:t>
      </w:r>
      <w:r>
        <w:rPr>
          <w:b w:val="0"/>
          <w:i w:val="0"/>
          <w:color w:val="804000"/>
          <w:highlight w:val="yellow"/>
        </w:rPr>
        <w:t>[■ polling interval, e.g., five (5) minutes]</w:t>
      </w:r>
      <w:r>
        <w:rPr>
          <w:b w:val="0"/>
          <w:i w:val="0"/>
        </w:rPr>
        <w:t xml:space="preserve">, and critical alarms shall generate an automatic ticket within </w:t>
      </w:r>
      <w:r>
        <w:rPr>
          <w:b w:val="0"/>
          <w:i w:val="0"/>
          <w:color w:val="804000"/>
          <w:highlight w:val="yellow"/>
        </w:rPr>
        <w:t>[■ auto-ticket interval, e.g., five (5) minutes]</w:t>
      </w:r>
      <w:r>
        <w:rPr>
          <w:b w:val="0"/>
          <w:i w:val="0"/>
        </w:rPr>
        <w:t>.</w:t>
      </w:r>
    </w:p>
    <w:p>
      <w:pPr>
        <w:pStyle w:val="Heading2"/>
        <w:spacing w:before="160" w:after="60"/>
      </w:pPr>
      <w:r>
        <w:rPr>
          <w:rFonts w:ascii="Calibri" w:hAnsi="Calibri"/>
          <w:b/>
          <w:color w:val="000000"/>
          <w:sz w:val="22"/>
        </w:rPr>
        <w:t>2.3  Trouble Reporting</w:t>
      </w:r>
    </w:p>
    <w:p>
      <w:r>
        <w:rPr>
          <w:b w:val="0"/>
          <w:i w:val="0"/>
        </w:rPr>
        <w:t>RIVR Tech shall provide the Lumbee Tribe a 24/7 trouble-reporting method (toll-free number, email/portal, and escalation contacts per Exhibit H). The Lumbee Tribe, anchor institutions, and end users may report trouble; each report receives a ticket number and initial classification.</w:t>
      </w:r>
    </w:p>
    <w:p>
      <w:pPr>
        <w:pStyle w:val="Heading1"/>
        <w:spacing w:before="240" w:after="120"/>
      </w:pPr>
      <w:r>
        <w:rPr>
          <w:rFonts w:ascii="Calibri" w:hAnsi="Calibri"/>
          <w:b/>
          <w:color w:val="1F3864"/>
          <w:sz w:val="26"/>
        </w:rPr>
        <w:t>ARTICLE 3.  OUTAGE CLASSIFICATION AND SEVERITY MATRIX</w:t>
      </w:r>
    </w:p>
    <w:p>
      <w:r>
        <w:rPr>
          <w:b w:val="0"/>
          <w:i w:val="0"/>
        </w:rPr>
        <w:t>The following Severity Matrix is the canonical classification and commitment table for the package. All times are maximums and run from detection or report, whichever is earlier: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val="clear" w:color="auto" w:fill="1F3864"/>
            <w:vAlign w:val="center"/>
          </w:tcPr>
          <w:p>
            <w:pPr>
              <w:jc w:val="center"/>
            </w:pPr>
            <w:r>
              <w:rPr>
                <w:b/>
                <w:color w:val="FFFFFF"/>
                <w:sz w:val="16"/>
              </w:rPr>
              <w:t>Priority</w:t>
            </w:r>
          </w:p>
        </w:tc>
        <w:tc>
          <w:tcPr>
            <w:tcW w:type="dxa" w:w="2880"/>
            <w:shd w:val="clear" w:color="auto" w:fill="1F3864"/>
            <w:vAlign w:val="center"/>
          </w:tcPr>
          <w:p>
            <w:pPr>
              <w:jc w:val="center"/>
            </w:pPr>
            <w:r>
              <w:rPr>
                <w:b/>
                <w:color w:val="FFFFFF"/>
                <w:sz w:val="16"/>
              </w:rPr>
              <w:t>Definition / Examples</w:t>
            </w:r>
          </w:p>
        </w:tc>
        <w:tc>
          <w:tcPr>
            <w:tcW w:type="dxa" w:w="1080"/>
            <w:shd w:val="clear" w:color="auto" w:fill="1F3864"/>
            <w:vAlign w:val="center"/>
          </w:tcPr>
          <w:p>
            <w:pPr>
              <w:jc w:val="center"/>
            </w:pPr>
            <w:r>
              <w:rPr>
                <w:b/>
                <w:color w:val="FFFFFF"/>
                <w:sz w:val="16"/>
              </w:rPr>
              <w:t>Response</w:t>
            </w:r>
          </w:p>
        </w:tc>
        <w:tc>
          <w:tcPr>
            <w:tcW w:type="dxa" w:w="1008"/>
            <w:shd w:val="clear" w:color="auto" w:fill="1F3864"/>
            <w:vAlign w:val="center"/>
          </w:tcPr>
          <w:p>
            <w:pPr>
              <w:jc w:val="center"/>
            </w:pPr>
            <w:r>
              <w:rPr>
                <w:b/>
                <w:color w:val="FFFFFF"/>
                <w:sz w:val="16"/>
              </w:rPr>
              <w:t>Dispatch</w:t>
            </w:r>
          </w:p>
        </w:tc>
        <w:tc>
          <w:tcPr>
            <w:tcW w:type="dxa" w:w="1512"/>
            <w:shd w:val="clear" w:color="auto" w:fill="1F3864"/>
            <w:vAlign w:val="center"/>
          </w:tcPr>
          <w:p>
            <w:pPr>
              <w:jc w:val="center"/>
            </w:pPr>
            <w:r>
              <w:rPr>
                <w:b/>
                <w:color w:val="FFFFFF"/>
                <w:sz w:val="16"/>
              </w:rPr>
              <w:t>Restoration Target</w:t>
            </w:r>
          </w:p>
        </w:tc>
        <w:tc>
          <w:tcPr>
            <w:tcW w:type="dxa" w:w="2304"/>
            <w:shd w:val="clear" w:color="auto" w:fill="1F3864"/>
            <w:vAlign w:val="center"/>
          </w:tcPr>
          <w:p>
            <w:pPr>
              <w:jc w:val="center"/>
            </w:pPr>
            <w:r>
              <w:rPr>
                <w:b/>
                <w:color w:val="FFFFFF"/>
                <w:sz w:val="16"/>
              </w:rPr>
              <w:t>Notification / Escalation</w:t>
            </w:r>
          </w:p>
        </w:tc>
      </w:tr>
      <w:tr>
        <w:tc>
          <w:tcPr>
            <w:tcW w:type="dxa" w:w="1440"/>
            <w:vAlign w:val="center"/>
          </w:tcPr>
          <w:p>
            <w:pPr>
              <w:jc w:val="center"/>
            </w:pPr>
            <w:r>
              <w:rPr>
                <w:b w:val="0"/>
                <w:i w:val="0"/>
                <w:sz w:val="16"/>
              </w:rPr>
              <w:t>P1 — Critical</w:t>
            </w:r>
          </w:p>
        </w:tc>
        <w:tc>
          <w:tcPr>
            <w:tcW w:type="dxa" w:w="2880"/>
            <w:vAlign w:val="center"/>
          </w:tcPr>
          <w:p>
            <w:r>
              <w:rPr>
                <w:b w:val="0"/>
                <w:i w:val="0"/>
                <w:sz w:val="16"/>
              </w:rPr>
              <w:t>Complete outage of a core/backbone segment or hut; loss of Essential Services or 911; fiber cut affecting a large service area; Reserved Tribal Capacity down.</w:t>
            </w:r>
          </w:p>
        </w:tc>
        <w:tc>
          <w:tcPr>
            <w:tcW w:type="dxa" w:w="1080"/>
            <w:vAlign w:val="center"/>
          </w:tcPr>
          <w:p>
            <w:pPr>
              <w:jc w:val="center"/>
            </w:pPr>
            <w:r>
              <w:rPr>
                <w:b w:val="0"/>
                <w:i w:val="0"/>
                <w:sz w:val="16"/>
              </w:rPr>
              <w:t>15 min</w:t>
            </w:r>
          </w:p>
        </w:tc>
        <w:tc>
          <w:tcPr>
            <w:tcW w:type="dxa" w:w="1008"/>
            <w:vAlign w:val="center"/>
          </w:tcPr>
          <w:p>
            <w:pPr>
              <w:jc w:val="center"/>
            </w:pPr>
            <w:r>
              <w:rPr>
                <w:b w:val="0"/>
                <w:i w:val="0"/>
                <w:sz w:val="16"/>
              </w:rPr>
              <w:t>2 hr</w:t>
            </w:r>
          </w:p>
        </w:tc>
        <w:tc>
          <w:tcPr>
            <w:tcW w:type="dxa" w:w="1512"/>
            <w:vAlign w:val="center"/>
          </w:tcPr>
          <w:p>
            <w:pPr>
              <w:jc w:val="center"/>
            </w:pPr>
            <w:r>
              <w:rPr>
                <w:b w:val="0"/>
                <w:i w:val="0"/>
                <w:sz w:val="16"/>
              </w:rPr>
              <w:t>8 hr</w:t>
            </w:r>
          </w:p>
        </w:tc>
        <w:tc>
          <w:tcPr>
            <w:tcW w:type="dxa" w:w="2304"/>
            <w:vAlign w:val="center"/>
          </w:tcPr>
          <w:p>
            <w:r>
              <w:rPr>
                <w:b w:val="0"/>
                <w:i w:val="0"/>
                <w:sz w:val="16"/>
              </w:rPr>
              <w:t>Immediate notice to Lumbee Tribe; hourly updates; auto-escalate to management per Exhibit H.</w:t>
            </w:r>
          </w:p>
        </w:tc>
      </w:tr>
      <w:tr>
        <w:tc>
          <w:tcPr>
            <w:tcW w:type="dxa" w:w="1440"/>
            <w:shd w:val="clear" w:color="auto" w:fill="F2F2F2"/>
            <w:vAlign w:val="center"/>
          </w:tcPr>
          <w:p>
            <w:pPr>
              <w:jc w:val="center"/>
            </w:pPr>
            <w:r>
              <w:rPr>
                <w:b w:val="0"/>
                <w:i w:val="0"/>
                <w:sz w:val="16"/>
              </w:rPr>
              <w:t>P2 — Major</w:t>
            </w:r>
          </w:p>
        </w:tc>
        <w:tc>
          <w:tcPr>
            <w:tcW w:type="dxa" w:w="2880"/>
            <w:shd w:val="clear" w:color="auto" w:fill="F2F2F2"/>
            <w:vAlign w:val="center"/>
          </w:tcPr>
          <w:p>
            <w:r>
              <w:rPr>
                <w:b w:val="0"/>
                <w:i w:val="0"/>
                <w:sz w:val="16"/>
              </w:rPr>
              <w:t>Partial outage or degraded service affecting multiple customers; loss of redundancy/protection; single-node failure without Essential-Services impact.</w:t>
            </w:r>
          </w:p>
        </w:tc>
        <w:tc>
          <w:tcPr>
            <w:tcW w:type="dxa" w:w="1080"/>
            <w:shd w:val="clear" w:color="auto" w:fill="F2F2F2"/>
            <w:vAlign w:val="center"/>
          </w:tcPr>
          <w:p>
            <w:pPr>
              <w:jc w:val="center"/>
            </w:pPr>
            <w:r>
              <w:rPr>
                <w:b w:val="0"/>
                <w:i w:val="0"/>
                <w:sz w:val="16"/>
              </w:rPr>
              <w:t>30 min</w:t>
            </w:r>
          </w:p>
        </w:tc>
        <w:tc>
          <w:tcPr>
            <w:tcW w:type="dxa" w:w="1008"/>
            <w:shd w:val="clear" w:color="auto" w:fill="F2F2F2"/>
            <w:vAlign w:val="center"/>
          </w:tcPr>
          <w:p>
            <w:pPr>
              <w:jc w:val="center"/>
            </w:pPr>
            <w:r>
              <w:rPr>
                <w:b w:val="0"/>
                <w:i w:val="0"/>
                <w:sz w:val="16"/>
              </w:rPr>
              <w:t>4 hr</w:t>
            </w:r>
          </w:p>
        </w:tc>
        <w:tc>
          <w:tcPr>
            <w:tcW w:type="dxa" w:w="1512"/>
            <w:shd w:val="clear" w:color="auto" w:fill="F2F2F2"/>
            <w:vAlign w:val="center"/>
          </w:tcPr>
          <w:p>
            <w:pPr>
              <w:jc w:val="center"/>
            </w:pPr>
            <w:r>
              <w:rPr>
                <w:b w:val="0"/>
                <w:i w:val="0"/>
                <w:sz w:val="16"/>
              </w:rPr>
              <w:t>24 hr</w:t>
            </w:r>
          </w:p>
        </w:tc>
        <w:tc>
          <w:tcPr>
            <w:tcW w:type="dxa" w:w="2304"/>
            <w:shd w:val="clear" w:color="auto" w:fill="F2F2F2"/>
            <w:vAlign w:val="center"/>
          </w:tcPr>
          <w:p>
            <w:r>
              <w:rPr>
                <w:b w:val="0"/>
                <w:i w:val="0"/>
                <w:sz w:val="16"/>
              </w:rPr>
              <w:t xml:space="preserve">Notice to Lumbee Tribe within response window; updates every </w:t>
            </w:r>
            <w:r>
              <w:rPr>
                <w:b w:val="0"/>
                <w:i w:val="0"/>
                <w:color w:val="804000"/>
                <w:sz w:val="16"/>
                <w:highlight w:val="yellow"/>
              </w:rPr>
              <w:t>[■ P2 update interval, e.g., 4 hr]</w:t>
            </w:r>
            <w:r>
              <w:rPr>
                <w:b w:val="0"/>
                <w:i w:val="0"/>
                <w:sz w:val="16"/>
              </w:rPr>
              <w:t>; escalate if restoration at risk.</w:t>
            </w:r>
          </w:p>
        </w:tc>
      </w:tr>
      <w:tr>
        <w:tc>
          <w:tcPr>
            <w:tcW w:type="dxa" w:w="1440"/>
            <w:vAlign w:val="center"/>
          </w:tcPr>
          <w:p>
            <w:pPr>
              <w:jc w:val="center"/>
            </w:pPr>
            <w:r>
              <w:rPr>
                <w:b w:val="0"/>
                <w:i w:val="0"/>
                <w:sz w:val="16"/>
              </w:rPr>
              <w:t>P3 — Minor</w:t>
            </w:r>
          </w:p>
        </w:tc>
        <w:tc>
          <w:tcPr>
            <w:tcW w:type="dxa" w:w="2880"/>
            <w:vAlign w:val="center"/>
          </w:tcPr>
          <w:p>
            <w:r>
              <w:rPr>
                <w:b w:val="0"/>
                <w:i w:val="0"/>
                <w:sz w:val="16"/>
              </w:rPr>
              <w:t>Single-customer outage or intermittent/degraded performance; non-critical alarm; minor equipment fault with workaround.</w:t>
            </w:r>
          </w:p>
        </w:tc>
        <w:tc>
          <w:tcPr>
            <w:tcW w:type="dxa" w:w="1080"/>
            <w:vAlign w:val="center"/>
          </w:tcPr>
          <w:p>
            <w:pPr>
              <w:jc w:val="center"/>
            </w:pPr>
            <w:r>
              <w:rPr>
                <w:b w:val="0"/>
                <w:i w:val="0"/>
                <w:sz w:val="16"/>
              </w:rPr>
              <w:t>4 hr</w:t>
            </w:r>
          </w:p>
        </w:tc>
        <w:tc>
          <w:tcPr>
            <w:tcW w:type="dxa" w:w="1008"/>
            <w:vAlign w:val="center"/>
          </w:tcPr>
          <w:p>
            <w:pPr>
              <w:jc w:val="center"/>
            </w:pPr>
            <w:r>
              <w:rPr>
                <w:b w:val="0"/>
                <w:i w:val="0"/>
                <w:sz w:val="16"/>
              </w:rPr>
              <w:t>24 hr</w:t>
            </w:r>
          </w:p>
        </w:tc>
        <w:tc>
          <w:tcPr>
            <w:tcW w:type="dxa" w:w="1512"/>
            <w:vAlign w:val="center"/>
          </w:tcPr>
          <w:p>
            <w:pPr>
              <w:jc w:val="center"/>
            </w:pPr>
            <w:r>
              <w:rPr>
                <w:b w:val="0"/>
                <w:i w:val="0"/>
                <w:sz w:val="16"/>
              </w:rPr>
              <w:t>5 business days</w:t>
            </w:r>
          </w:p>
        </w:tc>
        <w:tc>
          <w:tcPr>
            <w:tcW w:type="dxa" w:w="2304"/>
            <w:vAlign w:val="center"/>
          </w:tcPr>
          <w:p>
            <w:r>
              <w:rPr>
                <w:b w:val="0"/>
                <w:i w:val="0"/>
                <w:sz w:val="16"/>
              </w:rPr>
              <w:t>Ticketed; daily updates until cleared; escalate on aging.</w:t>
            </w:r>
          </w:p>
        </w:tc>
      </w:tr>
      <w:tr>
        <w:tc>
          <w:tcPr>
            <w:tcW w:type="dxa" w:w="1440"/>
            <w:shd w:val="clear" w:color="auto" w:fill="F2F2F2"/>
            <w:vAlign w:val="center"/>
          </w:tcPr>
          <w:p>
            <w:pPr>
              <w:jc w:val="center"/>
            </w:pPr>
            <w:r>
              <w:rPr>
                <w:b w:val="0"/>
                <w:i w:val="0"/>
                <w:sz w:val="16"/>
              </w:rPr>
              <w:t>P4 — Maintenance / Cosmetic</w:t>
            </w:r>
          </w:p>
        </w:tc>
        <w:tc>
          <w:tcPr>
            <w:tcW w:type="dxa" w:w="2880"/>
            <w:shd w:val="clear" w:color="auto" w:fill="F2F2F2"/>
            <w:vAlign w:val="center"/>
          </w:tcPr>
          <w:p>
            <w:r>
              <w:rPr>
                <w:b w:val="0"/>
                <w:i w:val="0"/>
                <w:sz w:val="16"/>
              </w:rPr>
              <w:t>Non-service-affecting condition; documentation or cosmetic issue; planned corrective item; informational alarm.</w:t>
            </w:r>
          </w:p>
        </w:tc>
        <w:tc>
          <w:tcPr>
            <w:tcW w:type="dxa" w:w="1080"/>
            <w:shd w:val="clear" w:color="auto" w:fill="F2F2F2"/>
            <w:vAlign w:val="center"/>
          </w:tcPr>
          <w:p>
            <w:pPr>
              <w:jc w:val="center"/>
            </w:pPr>
            <w:r>
              <w:rPr>
                <w:b w:val="0"/>
                <w:i w:val="0"/>
                <w:sz w:val="16"/>
              </w:rPr>
              <w:t>8 hr</w:t>
            </w:r>
          </w:p>
        </w:tc>
        <w:tc>
          <w:tcPr>
            <w:tcW w:type="dxa" w:w="1008"/>
            <w:shd w:val="clear" w:color="auto" w:fill="F2F2F2"/>
            <w:vAlign w:val="center"/>
          </w:tcPr>
          <w:p>
            <w:pPr>
              <w:jc w:val="center"/>
            </w:pPr>
            <w:r>
              <w:rPr>
                <w:b w:val="0"/>
                <w:i w:val="0"/>
                <w:sz w:val="16"/>
              </w:rPr>
              <w:t>As scheduled</w:t>
            </w:r>
          </w:p>
        </w:tc>
        <w:tc>
          <w:tcPr>
            <w:tcW w:type="dxa" w:w="1512"/>
            <w:shd w:val="clear" w:color="auto" w:fill="F2F2F2"/>
            <w:vAlign w:val="center"/>
          </w:tcPr>
          <w:p>
            <w:pPr>
              <w:jc w:val="center"/>
            </w:pPr>
            <w:r>
              <w:rPr>
                <w:b w:val="0"/>
                <w:i w:val="0"/>
                <w:sz w:val="16"/>
              </w:rPr>
              <w:t>30 days</w:t>
            </w:r>
          </w:p>
        </w:tc>
        <w:tc>
          <w:tcPr>
            <w:tcW w:type="dxa" w:w="2304"/>
            <w:shd w:val="clear" w:color="auto" w:fill="F2F2F2"/>
            <w:vAlign w:val="center"/>
          </w:tcPr>
          <w:p>
            <w:r>
              <w:rPr>
                <w:b w:val="0"/>
                <w:i w:val="0"/>
                <w:sz w:val="16"/>
              </w:rPr>
              <w:t>Logged; addressed in next maintenance window; report in monthly summary.</w:t>
            </w:r>
          </w:p>
        </w:tc>
      </w:tr>
    </w:tbl>
    <w:p>
      <w:pPr>
        <w:ind w:left="504"/>
      </w:pPr>
      <w:r>
        <w:rPr>
          <w:b/>
          <w:color w:val="007000"/>
        </w:rPr>
        <w:t xml:space="preserve">[TECHNICAL INFORMATION REQUIRED]  </w:t>
      </w:r>
      <w:r>
        <w:rPr>
          <w:i/>
          <w:color w:val="595959"/>
        </w:rPr>
        <w:t>Confirm the outage-scope thresholds (number of customers / segments) that map an incident to each Priority, and the P2 update cadence, in the final Exhibit H escalation matrix.</w:t>
      </w:r>
    </w:p>
    <w:p>
      <w:pPr>
        <w:pStyle w:val="Heading1"/>
        <w:spacing w:before="240" w:after="120"/>
      </w:pPr>
      <w:r>
        <w:rPr>
          <w:rFonts w:ascii="Calibri" w:hAnsi="Calibri"/>
          <w:b/>
          <w:color w:val="1F3864"/>
          <w:sz w:val="26"/>
        </w:rPr>
        <w:t>ARTICLE 4.  RESPONSE, DISPATCH, RESTORATION, AND ESCALATION</w:t>
      </w:r>
    </w:p>
    <w:p>
      <w:pPr>
        <w:pStyle w:val="Heading2"/>
        <w:spacing w:before="160" w:after="60"/>
      </w:pPr>
      <w:r>
        <w:rPr>
          <w:rFonts w:ascii="Calibri" w:hAnsi="Calibri"/>
          <w:b/>
          <w:color w:val="000000"/>
          <w:sz w:val="22"/>
        </w:rPr>
        <w:t>4.1  Commitments</w:t>
      </w:r>
    </w:p>
    <w:p>
      <w:r>
        <w:rPr>
          <w:b w:val="0"/>
          <w:i w:val="0"/>
        </w:rPr>
        <w:t>RIVR Tech shall meet the response (15-minute P1), dispatch (2-hour P1), and restoration (8-hour P1) targets in the Severity Matrix for each Priority, and shall record actual times on each ticket for reporting and service-credit determination.</w:t>
      </w:r>
    </w:p>
    <w:p>
      <w:pPr>
        <w:pStyle w:val="Heading2"/>
        <w:spacing w:before="160" w:after="60"/>
      </w:pPr>
      <w:r>
        <w:rPr>
          <w:rFonts w:ascii="Calibri" w:hAnsi="Calibri"/>
          <w:b/>
          <w:color w:val="000000"/>
          <w:sz w:val="22"/>
        </w:rPr>
        <w:t>4.2  Escalation Procedures</w:t>
      </w:r>
    </w:p>
    <w:p>
      <w:r>
        <w:rPr>
          <w:b w:val="0"/>
          <w:i w:val="0"/>
        </w:rPr>
        <w:t>RIVR Tech shall maintain a tiered escalation chain (Tier 1 NOC → Tier 2 field/engineering → management → executive) with named contacts and time-based auto-escalation, as detailed in Exhibit H (Escalation Matrix). Essential-Services incidents escalate immediately to management.</w:t>
      </w:r>
    </w:p>
    <w:p>
      <w:pPr>
        <w:ind w:left="504"/>
      </w:pPr>
      <w:r>
        <w:rPr>
          <w:b/>
          <w:color w:val="007000"/>
        </w:rPr>
        <w:t xml:space="preserve">[TECHNICAL INFORMATION REQUIRED]  </w:t>
      </w:r>
      <w:r>
        <w:rPr>
          <w:i/>
          <w:color w:val="595959"/>
        </w:rPr>
        <w:t>Attach Exhibit H (Escalation Matrix) with named 24/7 contacts, phone numbers, and time-based escalation triggers.</w:t>
      </w:r>
    </w:p>
    <w:p>
      <w:pPr>
        <w:pStyle w:val="Heading1"/>
        <w:spacing w:before="240" w:after="120"/>
      </w:pPr>
      <w:r>
        <w:rPr>
          <w:rFonts w:ascii="Calibri" w:hAnsi="Calibri"/>
          <w:b/>
          <w:color w:val="1F3864"/>
          <w:sz w:val="26"/>
        </w:rPr>
        <w:t>ARTICLE 5.  SCHEDULED MAINTENANCE AND CUSTOMER NOTIFICATIONS</w:t>
      </w:r>
    </w:p>
    <w:p>
      <w:pPr>
        <w:pStyle w:val="Heading2"/>
        <w:spacing w:before="160" w:after="60"/>
      </w:pPr>
      <w:r>
        <w:rPr>
          <w:rFonts w:ascii="Calibri" w:hAnsi="Calibri"/>
          <w:b/>
          <w:color w:val="000000"/>
          <w:sz w:val="22"/>
        </w:rPr>
        <w:t>5.1  Maintenance Windows</w:t>
      </w:r>
    </w:p>
    <w:p>
      <w:r>
        <w:rPr>
          <w:b w:val="0"/>
          <w:i w:val="0"/>
        </w:rPr>
        <w:t xml:space="preserve">Planned, service-affecting maintenance shall occur within standard maintenance windows </w:t>
      </w:r>
      <w:r>
        <w:rPr>
          <w:b w:val="0"/>
          <w:i w:val="0"/>
          <w:color w:val="804000"/>
          <w:highlight w:val="yellow"/>
        </w:rPr>
        <w:t>[■ standard window, e.g., Sun 00:00–06:00 ET]</w:t>
      </w:r>
      <w:r>
        <w:rPr>
          <w:b w:val="0"/>
          <w:i w:val="0"/>
        </w:rPr>
        <w:t xml:space="preserve"> and be limited to </w:t>
      </w:r>
      <w:r>
        <w:rPr>
          <w:b w:val="0"/>
          <w:i w:val="0"/>
          <w:color w:val="804000"/>
          <w:highlight w:val="yellow"/>
        </w:rPr>
        <w:t>[■ max planned-maintenance minutes/month]</w:t>
      </w:r>
      <w:r>
        <w:rPr>
          <w:b w:val="0"/>
          <w:i w:val="0"/>
        </w:rPr>
        <w:t xml:space="preserve"> of service-affecting time, excluded from availability calculations only if properly noticed.</w:t>
      </w:r>
    </w:p>
    <w:p>
      <w:pPr>
        <w:pStyle w:val="Heading2"/>
        <w:spacing w:before="160" w:after="60"/>
      </w:pPr>
      <w:r>
        <w:rPr>
          <w:rFonts w:ascii="Calibri" w:hAnsi="Calibri"/>
          <w:b/>
          <w:color w:val="000000"/>
          <w:sz w:val="22"/>
        </w:rPr>
        <w:t>5.2  Advance Notice</w:t>
      </w:r>
    </w:p>
    <w:p>
      <w:r>
        <w:rPr>
          <w:b w:val="0"/>
          <w:i w:val="0"/>
        </w:rPr>
        <w:t xml:space="preserve">RIVR Tech shall provide the Lumbee Tribe and affected customers at least </w:t>
      </w:r>
      <w:r>
        <w:rPr>
          <w:b w:val="0"/>
          <w:i w:val="0"/>
          <w:color w:val="804000"/>
          <w:highlight w:val="yellow"/>
        </w:rPr>
        <w:t>[■ planned-maintenance notice, e.g., ten (10) business days]</w:t>
      </w:r>
      <w:r>
        <w:rPr>
          <w:b w:val="0"/>
          <w:i w:val="0"/>
        </w:rPr>
        <w:t xml:space="preserve"> advance notice of planned service-affecting maintenance, and as much notice as practicable for urgent maintenance.</w:t>
      </w:r>
    </w:p>
    <w:p>
      <w:pPr>
        <w:pStyle w:val="Heading2"/>
        <w:spacing w:before="160" w:after="60"/>
      </w:pPr>
      <w:r>
        <w:rPr>
          <w:rFonts w:ascii="Calibri" w:hAnsi="Calibri"/>
          <w:b/>
          <w:color w:val="000000"/>
          <w:sz w:val="22"/>
        </w:rPr>
        <w:t>5.3  Customer Notifications</w:t>
      </w:r>
    </w:p>
    <w:p>
      <w:r>
        <w:rPr>
          <w:b w:val="0"/>
          <w:i w:val="0"/>
        </w:rPr>
        <w:t xml:space="preserve">RIVR Tech shall notify affected end users of outages and restoration status through </w:t>
      </w:r>
      <w:r>
        <w:rPr>
          <w:b w:val="0"/>
          <w:i w:val="0"/>
          <w:color w:val="804000"/>
          <w:highlight w:val="yellow"/>
        </w:rPr>
        <w:t>[■ notification channels — SMS/email/IVR/portal]</w:t>
      </w:r>
      <w:r>
        <w:rPr>
          <w:b w:val="0"/>
          <w:i w:val="0"/>
        </w:rPr>
        <w:t>, and shall provide the Lumbee Tribe outage summaries for Essential-Services sites in real time.</w:t>
      </w:r>
    </w:p>
    <w:p>
      <w:pPr>
        <w:pStyle w:val="Heading1"/>
        <w:spacing w:before="240" w:after="120"/>
      </w:pPr>
      <w:r>
        <w:rPr>
          <w:rFonts w:ascii="Calibri" w:hAnsi="Calibri"/>
          <w:b/>
          <w:color w:val="1F3864"/>
          <w:sz w:val="26"/>
        </w:rPr>
        <w:t>ARTICLE 6.  FIBER LOCATES, DAMAGE PREVENTION, AND CABLE CUTS</w:t>
      </w:r>
    </w:p>
    <w:p>
      <w:pPr>
        <w:pStyle w:val="Heading2"/>
        <w:spacing w:before="160" w:after="60"/>
      </w:pPr>
      <w:r>
        <w:rPr>
          <w:rFonts w:ascii="Calibri" w:hAnsi="Calibri"/>
          <w:b/>
          <w:color w:val="000000"/>
          <w:sz w:val="22"/>
        </w:rPr>
        <w:t>6.1  Locates (NC 811)</w:t>
      </w:r>
    </w:p>
    <w:p>
      <w:r>
        <w:rPr>
          <w:b w:val="0"/>
          <w:i w:val="0"/>
        </w:rPr>
        <w:t>RIVR Tech shall participate in the North Carolina 811 one-call system and comply with N.C. Gen. Stat. Ch. 87, Art. 8A (Underground Utility Safety and Damage Prevention Act / 811 locates), providing timely and accurate locates of the Tribal Assets and marking within statutory timeframes.</w:t>
      </w:r>
    </w:p>
    <w:p>
      <w:pPr>
        <w:pStyle w:val="Heading2"/>
        <w:spacing w:before="160" w:after="60"/>
      </w:pPr>
      <w:r>
        <w:rPr>
          <w:rFonts w:ascii="Calibri" w:hAnsi="Calibri"/>
          <w:b/>
          <w:color w:val="000000"/>
          <w:sz w:val="22"/>
        </w:rPr>
        <w:t>6.2  Damage Prevention</w:t>
      </w:r>
    </w:p>
    <w:p>
      <w:r>
        <w:rPr>
          <w:b w:val="0"/>
          <w:i w:val="0"/>
        </w:rPr>
        <w:t>RIVR Tech shall maintain a damage-prevention program including as-built records, locate ticket management, potholing where required, and contractor education, to protect the Tribal Assets and the Federal Interest.</w:t>
      </w:r>
    </w:p>
    <w:p>
      <w:pPr>
        <w:pStyle w:val="Heading2"/>
        <w:spacing w:before="160" w:after="60"/>
      </w:pPr>
      <w:r>
        <w:rPr>
          <w:rFonts w:ascii="Calibri" w:hAnsi="Calibri"/>
          <w:b/>
          <w:color w:val="000000"/>
          <w:sz w:val="22"/>
        </w:rPr>
        <w:t>6.3  Cable Cuts</w:t>
      </w:r>
    </w:p>
    <w:p>
      <w:r>
        <w:rPr>
          <w:b w:val="0"/>
          <w:i w:val="0"/>
        </w:rPr>
        <w:t>Fiber cuts are P1 or P2 per the Severity Matrix based on scope. RIVR Tech shall stage splice crews and materials to meet the 8-hour P1 restoration target for large-area cuts and shall preserve evidence for third-party damage recovery under Article 14.</w:t>
      </w:r>
    </w:p>
    <w:p>
      <w:pPr>
        <w:pStyle w:val="Heading1"/>
        <w:spacing w:before="240" w:after="120"/>
      </w:pPr>
      <w:r>
        <w:rPr>
          <w:rFonts w:ascii="Calibri" w:hAnsi="Calibri"/>
          <w:b/>
          <w:color w:val="1F3864"/>
          <w:sz w:val="26"/>
        </w:rPr>
        <w:t>ARTICLE 7.  STORM RESTORATION, SPARE MATERIALS, AND PREVENTIVE MAINTENANCE</w:t>
      </w:r>
    </w:p>
    <w:p>
      <w:pPr>
        <w:pStyle w:val="Heading2"/>
        <w:spacing w:before="160" w:after="60"/>
      </w:pPr>
      <w:r>
        <w:rPr>
          <w:rFonts w:ascii="Calibri" w:hAnsi="Calibri"/>
          <w:b/>
          <w:color w:val="000000"/>
          <w:sz w:val="22"/>
        </w:rPr>
        <w:t>7.1  Storm and Emergency Restoration</w:t>
      </w:r>
    </w:p>
    <w:p>
      <w:r>
        <w:rPr>
          <w:b w:val="0"/>
          <w:i w:val="0"/>
        </w:rPr>
        <w:t>RIVR Tech shall maintain a storm/emergency restoration plan for hurricane, flood, and ice events common to southeastern North Carolina, including mutual-aid arrangements, staging, and prioritization of Essential Services and public-safety sites. During a declared emergency, restoration sequencing prioritizes life-safety and Reserved Tribal Capacity.</w:t>
      </w:r>
    </w:p>
    <w:p>
      <w:pPr>
        <w:pStyle w:val="Heading2"/>
        <w:spacing w:before="160" w:after="60"/>
      </w:pPr>
      <w:r>
        <w:rPr>
          <w:rFonts w:ascii="Calibri" w:hAnsi="Calibri"/>
          <w:b/>
          <w:color w:val="000000"/>
          <w:sz w:val="22"/>
        </w:rPr>
        <w:t>7.2  Spare Materials</w:t>
      </w:r>
    </w:p>
    <w:p>
      <w:r>
        <w:rPr>
          <w:b w:val="0"/>
          <w:i w:val="0"/>
        </w:rPr>
        <w:t xml:space="preserve">RIVR Tech shall maintain a spares inventory (fiber cable, splice enclosures, connectors, optics, power, and critical electronics) sufficient to meet the restoration targets, in the quantities set out in </w:t>
      </w:r>
      <w:r>
        <w:rPr>
          <w:b w:val="0"/>
          <w:i w:val="0"/>
          <w:color w:val="804000"/>
          <w:highlight w:val="yellow"/>
        </w:rPr>
        <w:t>[■ spares inventory schedule — quantities by material]</w:t>
      </w:r>
      <w:r>
        <w:rPr>
          <w:b w:val="0"/>
          <w:i w:val="0"/>
        </w:rPr>
        <w:t>.</w:t>
      </w:r>
    </w:p>
    <w:p>
      <w:pPr>
        <w:pStyle w:val="Heading2"/>
        <w:spacing w:before="160" w:after="60"/>
      </w:pPr>
      <w:r>
        <w:rPr>
          <w:rFonts w:ascii="Calibri" w:hAnsi="Calibri"/>
          <w:b/>
          <w:color w:val="000000"/>
          <w:sz w:val="22"/>
        </w:rPr>
        <w:t>7.3  Preventive Maintenance</w:t>
      </w:r>
    </w:p>
    <w:p>
      <w:r>
        <w:rPr>
          <w:b w:val="0"/>
          <w:i w:val="0"/>
        </w:rPr>
        <w:t xml:space="preserve">RIVR Tech shall perform scheduled preventive maintenance (hut/shelter inspections, generator/battery testing, connector cleaning, vegetation and pole inspections, and optical audits) on the cycle in </w:t>
      </w:r>
      <w:r>
        <w:rPr>
          <w:b w:val="0"/>
          <w:i w:val="0"/>
          <w:color w:val="804000"/>
          <w:highlight w:val="yellow"/>
        </w:rPr>
        <w:t>[■ PM schedule — activities and frequency]</w:t>
      </w:r>
      <w:r>
        <w:rPr>
          <w:b w:val="0"/>
          <w:i w:val="0"/>
        </w:rPr>
        <w:t>, and log all PM activity for the monthly report.</w:t>
      </w:r>
    </w:p>
    <w:p>
      <w:pPr>
        <w:pStyle w:val="Heading1"/>
        <w:spacing w:before="240" w:after="120"/>
      </w:pPr>
      <w:r>
        <w:rPr>
          <w:rFonts w:ascii="Calibri" w:hAnsi="Calibri"/>
          <w:b/>
          <w:color w:val="1F3864"/>
          <w:sz w:val="26"/>
        </w:rPr>
        <w:t>ARTICLE 8.  ELECTRONICS REPLACEMENT, SOFTWARE, AND FIRMWARE</w:t>
      </w:r>
    </w:p>
    <w:p>
      <w:pPr>
        <w:pStyle w:val="Heading2"/>
        <w:spacing w:before="160" w:after="60"/>
      </w:pPr>
      <w:r>
        <w:rPr>
          <w:rFonts w:ascii="Calibri" w:hAnsi="Calibri"/>
          <w:b/>
          <w:color w:val="000000"/>
          <w:sz w:val="22"/>
        </w:rPr>
        <w:t>8.1  Electronics Replacement</w:t>
      </w:r>
    </w:p>
    <w:p>
      <w:r>
        <w:rPr>
          <w:b w:val="0"/>
          <w:i w:val="0"/>
        </w:rPr>
        <w:t>RIVR Tech shall replace failed or end-of-life active electronics to sustain the performance standards, and shall manage refresh cycles so as not to degrade Essential Services or the Reserved Tribal Capacity. Replacement of Tribal-Asset-side electronics does not transfer title (Document 02.02, Article 11.2).</w:t>
      </w:r>
    </w:p>
    <w:p>
      <w:pPr>
        <w:pStyle w:val="Heading2"/>
        <w:spacing w:before="160" w:after="60"/>
      </w:pPr>
      <w:r>
        <w:rPr>
          <w:rFonts w:ascii="Calibri" w:hAnsi="Calibri"/>
          <w:b/>
          <w:color w:val="000000"/>
          <w:sz w:val="22"/>
        </w:rPr>
        <w:t>8.2  Software and Firmware Updates</w:t>
      </w:r>
    </w:p>
    <w:p>
      <w:r>
        <w:rPr>
          <w:b w:val="0"/>
          <w:i w:val="0"/>
        </w:rPr>
        <w:t xml:space="preserve">RIVR Tech shall keep network element software and firmware on vendor-supported, security-patched releases, applying critical security patches within </w:t>
      </w:r>
      <w:r>
        <w:rPr>
          <w:b w:val="0"/>
          <w:i w:val="0"/>
          <w:color w:val="804000"/>
          <w:highlight w:val="yellow"/>
        </w:rPr>
        <w:t>[■ critical-patch window, e.g., 30 days]</w:t>
      </w:r>
      <w:r>
        <w:rPr>
          <w:b w:val="0"/>
          <w:i w:val="0"/>
        </w:rPr>
        <w:t xml:space="preserve"> and other updates on a managed cadence, with change control and rollback.</w:t>
      </w:r>
    </w:p>
    <w:p>
      <w:pPr>
        <w:pStyle w:val="Heading1"/>
        <w:spacing w:before="240" w:after="120"/>
      </w:pPr>
      <w:r>
        <w:rPr>
          <w:rFonts w:ascii="Calibri" w:hAnsi="Calibri"/>
          <w:b/>
          <w:color w:val="1F3864"/>
          <w:sz w:val="26"/>
        </w:rPr>
        <w:t>ARTICLE 9.  CYBERSECURITY, DISASTER RECOVERY, AND BACKUP POWER</w:t>
      </w:r>
    </w:p>
    <w:p>
      <w:pPr>
        <w:pStyle w:val="Heading2"/>
        <w:spacing w:before="160" w:after="60"/>
      </w:pPr>
      <w:r>
        <w:rPr>
          <w:rFonts w:ascii="Calibri" w:hAnsi="Calibri"/>
          <w:b/>
          <w:color w:val="000000"/>
          <w:sz w:val="22"/>
        </w:rPr>
        <w:t>9.1  Cybersecurity Incident Response</w:t>
      </w:r>
    </w:p>
    <w:p>
      <w:r>
        <w:rPr>
          <w:b w:val="0"/>
          <w:i w:val="0"/>
        </w:rPr>
        <w:t xml:space="preserve">RIVR Tech shall maintain a cybersecurity program and incident-response plan consistent with Document 02.06 (Cybersecurity), including detection, containment, notification, and remediation, and shall notify the Lumbee Tribe of reportable incidents within </w:t>
      </w:r>
      <w:r>
        <w:rPr>
          <w:b w:val="0"/>
          <w:i w:val="0"/>
          <w:color w:val="804000"/>
          <w:highlight w:val="yellow"/>
        </w:rPr>
        <w:t>[■ cyber-incident notice window, e.g., 24 hours]</w:t>
      </w:r>
      <w:r>
        <w:rPr>
          <w:b w:val="0"/>
          <w:i w:val="0"/>
        </w:rPr>
        <w:t>.</w:t>
      </w:r>
    </w:p>
    <w:p>
      <w:pPr>
        <w:pStyle w:val="Heading2"/>
        <w:spacing w:before="160" w:after="60"/>
      </w:pPr>
      <w:r>
        <w:rPr>
          <w:rFonts w:ascii="Calibri" w:hAnsi="Calibri"/>
          <w:b/>
          <w:color w:val="000000"/>
          <w:sz w:val="22"/>
        </w:rPr>
        <w:t>9.2  Disaster Recovery</w:t>
      </w:r>
    </w:p>
    <w:p>
      <w:r>
        <w:rPr>
          <w:b w:val="0"/>
          <w:i w:val="0"/>
        </w:rPr>
        <w:t xml:space="preserve">RIVR Tech shall maintain disaster-recovery and business-continuity plans for NOC, OSS/BSS, and critical network functions, with defined RTO/RPO </w:t>
      </w:r>
      <w:r>
        <w:rPr>
          <w:b w:val="0"/>
          <w:i w:val="0"/>
          <w:color w:val="804000"/>
          <w:highlight w:val="yellow"/>
        </w:rPr>
        <w:t>[■ RTO/RPO targets]</w:t>
      </w:r>
      <w:r>
        <w:rPr>
          <w:b w:val="0"/>
          <w:i w:val="0"/>
        </w:rPr>
        <w:t xml:space="preserve"> and periodic testing.</w:t>
      </w:r>
    </w:p>
    <w:p>
      <w:pPr>
        <w:pStyle w:val="Heading2"/>
        <w:spacing w:before="160" w:after="60"/>
      </w:pPr>
      <w:r>
        <w:rPr>
          <w:rFonts w:ascii="Calibri" w:hAnsi="Calibri"/>
          <w:b/>
          <w:color w:val="000000"/>
          <w:sz w:val="22"/>
        </w:rPr>
        <w:t>9.3  Backup Power</w:t>
      </w:r>
    </w:p>
    <w:p>
      <w:r>
        <w:rPr>
          <w:b w:val="0"/>
          <w:i w:val="0"/>
        </w:rPr>
        <w:t xml:space="preserve">Critical sites (huts, core nodes, Essential-Services locations) shall have backup power (battery plus generator where applicable) sized for at least </w:t>
      </w:r>
      <w:r>
        <w:rPr>
          <w:b w:val="0"/>
          <w:i w:val="0"/>
          <w:color w:val="804000"/>
          <w:highlight w:val="yellow"/>
        </w:rPr>
        <w:t>[■ backup-power runtime, e.g., 24–72 hours]</w:t>
      </w:r>
      <w:r>
        <w:rPr>
          <w:b w:val="0"/>
          <w:i w:val="0"/>
        </w:rPr>
        <w:t>, with automatic transfer, monitoring, and periodic load testing.</w:t>
      </w:r>
    </w:p>
    <w:p>
      <w:pPr>
        <w:pStyle w:val="Heading1"/>
        <w:spacing w:before="240" w:after="120"/>
      </w:pPr>
      <w:r>
        <w:rPr>
          <w:rFonts w:ascii="Calibri" w:hAnsi="Calibri"/>
          <w:b/>
          <w:color w:val="1F3864"/>
          <w:sz w:val="26"/>
        </w:rPr>
        <w:t>ARTICLE 10.  NETWORK PERFORMANCE STANDARDS</w:t>
      </w:r>
    </w:p>
    <w:p>
      <w:r>
        <w:rPr>
          <w:b w:val="0"/>
          <w:i w:val="0"/>
        </w:rPr>
        <w:t>RIVR Tech shall meet or exceed the following measurable performance standards, measured monthly at the Demarcation Points and representative customer endpoints: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F3864"/>
            <w:vAlign w:val="center"/>
          </w:tcPr>
          <w:p>
            <w:pPr>
              <w:jc w:val="center"/>
            </w:pPr>
            <w:r>
              <w:rPr>
                <w:b/>
                <w:color w:val="FFFFFF"/>
                <w:sz w:val="18"/>
              </w:rPr>
              <w:t>Performance Metric</w:t>
            </w:r>
          </w:p>
        </w:tc>
        <w:tc>
          <w:tcPr>
            <w:tcW w:type="dxa" w:w="2160"/>
            <w:shd w:val="clear" w:color="auto" w:fill="1F3864"/>
            <w:vAlign w:val="center"/>
          </w:tcPr>
          <w:p>
            <w:pPr>
              <w:jc w:val="center"/>
            </w:pPr>
            <w:r>
              <w:rPr>
                <w:b/>
                <w:color w:val="FFFFFF"/>
                <w:sz w:val="18"/>
              </w:rPr>
              <w:t>Committed Standard</w:t>
            </w:r>
          </w:p>
        </w:tc>
        <w:tc>
          <w:tcPr>
            <w:tcW w:type="dxa" w:w="4464"/>
            <w:shd w:val="clear" w:color="auto" w:fill="1F3864"/>
            <w:vAlign w:val="center"/>
          </w:tcPr>
          <w:p>
            <w:pPr>
              <w:jc w:val="center"/>
            </w:pPr>
            <w:r>
              <w:rPr>
                <w:b/>
                <w:color w:val="FFFFFF"/>
                <w:sz w:val="18"/>
              </w:rPr>
              <w:t>Measurement Method</w:t>
            </w:r>
          </w:p>
        </w:tc>
      </w:tr>
      <w:tr>
        <w:tc>
          <w:tcPr>
            <w:tcW w:type="dxa" w:w="2736"/>
            <w:vAlign w:val="center"/>
          </w:tcPr>
          <w:p>
            <w:r>
              <w:rPr>
                <w:b w:val="0"/>
                <w:i w:val="0"/>
                <w:sz w:val="18"/>
              </w:rPr>
              <w:t>Network availability</w:t>
            </w:r>
          </w:p>
        </w:tc>
        <w:tc>
          <w:tcPr>
            <w:tcW w:type="dxa" w:w="2160"/>
            <w:vAlign w:val="center"/>
          </w:tcPr>
          <w:p>
            <w:r>
              <w:rPr>
                <w:b w:val="0"/>
                <w:i w:val="0"/>
                <w:sz w:val="18"/>
              </w:rPr>
              <w:t>99.9%</w:t>
            </w:r>
          </w:p>
        </w:tc>
        <w:tc>
          <w:tcPr>
            <w:tcW w:type="dxa" w:w="4464"/>
            <w:vAlign w:val="center"/>
          </w:tcPr>
          <w:p>
            <w:r>
              <w:rPr>
                <w:b w:val="0"/>
                <w:i w:val="0"/>
                <w:sz w:val="18"/>
              </w:rPr>
              <w:t>Monthly uptime %, excluding properly-noticed planned maintenance.</w:t>
            </w:r>
          </w:p>
        </w:tc>
      </w:tr>
      <w:tr>
        <w:tc>
          <w:tcPr>
            <w:tcW w:type="dxa" w:w="2736"/>
            <w:shd w:val="clear" w:color="auto" w:fill="F2F2F2"/>
            <w:vAlign w:val="center"/>
          </w:tcPr>
          <w:p>
            <w:r>
              <w:rPr>
                <w:b w:val="0"/>
                <w:i w:val="0"/>
                <w:sz w:val="18"/>
              </w:rPr>
              <w:t>Latency (round-trip)</w:t>
            </w:r>
          </w:p>
        </w:tc>
        <w:tc>
          <w:tcPr>
            <w:tcW w:type="dxa" w:w="2160"/>
            <w:shd w:val="clear" w:color="auto" w:fill="F2F2F2"/>
            <w:vAlign w:val="center"/>
          </w:tcPr>
          <w:p>
            <w:r>
              <w:rPr>
                <w:b w:val="0"/>
                <w:i w:val="0"/>
                <w:sz w:val="18"/>
              </w:rPr>
              <w:t>≤ 100 ms</w:t>
            </w:r>
          </w:p>
        </w:tc>
        <w:tc>
          <w:tcPr>
            <w:tcW w:type="dxa" w:w="4464"/>
            <w:shd w:val="clear" w:color="auto" w:fill="F2F2F2"/>
            <w:vAlign w:val="center"/>
          </w:tcPr>
          <w:p>
            <w:r>
              <w:rPr>
                <w:b w:val="0"/>
                <w:i w:val="0"/>
                <w:sz w:val="18"/>
              </w:rPr>
              <w:t>Average RTT across the Network core, monthly.</w:t>
            </w:r>
          </w:p>
        </w:tc>
      </w:tr>
      <w:tr>
        <w:tc>
          <w:tcPr>
            <w:tcW w:type="dxa" w:w="2736"/>
            <w:vAlign w:val="center"/>
          </w:tcPr>
          <w:p>
            <w:r>
              <w:rPr>
                <w:b w:val="0"/>
                <w:i w:val="0"/>
                <w:sz w:val="18"/>
              </w:rPr>
              <w:t>Packet loss</w:t>
            </w:r>
          </w:p>
        </w:tc>
        <w:tc>
          <w:tcPr>
            <w:tcW w:type="dxa" w:w="2160"/>
            <w:vAlign w:val="center"/>
          </w:tcPr>
          <w:p>
            <w:r>
              <w:rPr>
                <w:b w:val="0"/>
                <w:i w:val="0"/>
                <w:sz w:val="18"/>
              </w:rPr>
              <w:t>≤ 0.1%</w:t>
            </w:r>
          </w:p>
        </w:tc>
        <w:tc>
          <w:tcPr>
            <w:tcW w:type="dxa" w:w="4464"/>
            <w:vAlign w:val="center"/>
          </w:tcPr>
          <w:p>
            <w:r>
              <w:rPr>
                <w:b w:val="0"/>
                <w:i w:val="0"/>
                <w:sz w:val="18"/>
              </w:rPr>
              <w:t>Monthly average over active monitoring probes.</w:t>
            </w:r>
          </w:p>
        </w:tc>
      </w:tr>
      <w:tr>
        <w:tc>
          <w:tcPr>
            <w:tcW w:type="dxa" w:w="2736"/>
            <w:shd w:val="clear" w:color="auto" w:fill="F2F2F2"/>
            <w:vAlign w:val="center"/>
          </w:tcPr>
          <w:p>
            <w:r>
              <w:rPr>
                <w:b w:val="0"/>
                <w:i w:val="0"/>
                <w:sz w:val="18"/>
              </w:rPr>
              <w:t>Jitter</w:t>
            </w:r>
          </w:p>
        </w:tc>
        <w:tc>
          <w:tcPr>
            <w:tcW w:type="dxa" w:w="2160"/>
            <w:shd w:val="clear" w:color="auto" w:fill="F2F2F2"/>
            <w:vAlign w:val="center"/>
          </w:tcPr>
          <w:p>
            <w:r>
              <w:rPr>
                <w:b w:val="0"/>
                <w:i w:val="0"/>
                <w:sz w:val="18"/>
              </w:rPr>
              <w:t>≤ 30 ms</w:t>
            </w:r>
          </w:p>
        </w:tc>
        <w:tc>
          <w:tcPr>
            <w:tcW w:type="dxa" w:w="4464"/>
            <w:shd w:val="clear" w:color="auto" w:fill="F2F2F2"/>
            <w:vAlign w:val="center"/>
          </w:tcPr>
          <w:p>
            <w:r>
              <w:rPr>
                <w:b w:val="0"/>
                <w:i w:val="0"/>
                <w:sz w:val="18"/>
              </w:rPr>
              <w:t>Monthly average packet-delay variation.</w:t>
            </w:r>
          </w:p>
        </w:tc>
      </w:tr>
      <w:tr>
        <w:tc>
          <w:tcPr>
            <w:tcW w:type="dxa" w:w="2736"/>
            <w:vAlign w:val="center"/>
          </w:tcPr>
          <w:p>
            <w:r>
              <w:rPr>
                <w:b w:val="0"/>
                <w:i w:val="0"/>
                <w:sz w:val="18"/>
              </w:rPr>
              <w:t>Broadband speed (service floor)</w:t>
            </w:r>
          </w:p>
        </w:tc>
        <w:tc>
          <w:tcPr>
            <w:tcW w:type="dxa" w:w="2160"/>
            <w:vAlign w:val="center"/>
          </w:tcPr>
          <w:p>
            <w:r>
              <w:rPr>
                <w:b w:val="0"/>
                <w:i w:val="0"/>
                <w:sz w:val="18"/>
              </w:rPr>
              <w:t>≥ 100/20 Mbps</w:t>
            </w:r>
          </w:p>
        </w:tc>
        <w:tc>
          <w:tcPr>
            <w:tcW w:type="dxa" w:w="4464"/>
            <w:vAlign w:val="center"/>
          </w:tcPr>
          <w:p>
            <w:r>
              <w:rPr>
                <w:b w:val="0"/>
                <w:i w:val="0"/>
                <w:sz w:val="18"/>
              </w:rPr>
              <w:t xml:space="preserve">Speed testing to </w:t>
            </w:r>
            <w:r>
              <w:rPr>
                <w:b w:val="0"/>
                <w:i w:val="0"/>
                <w:color w:val="804000"/>
                <w:sz w:val="18"/>
                <w:highlight w:val="yellow"/>
              </w:rPr>
              <w:t>[■ speed-test methodology / FCC MBA-style probes]</w:t>
            </w:r>
            <w:r>
              <w:rPr>
                <w:b w:val="0"/>
                <w:i w:val="0"/>
                <w:sz w:val="18"/>
              </w:rPr>
              <w:t>; provisioned rate met/exceeded.</w:t>
            </w:r>
          </w:p>
        </w:tc>
      </w:tr>
    </w:tbl>
    <w:p>
      <w:pPr>
        <w:pStyle w:val="Heading2"/>
        <w:spacing w:before="160" w:after="60"/>
      </w:pPr>
      <w:r>
        <w:rPr>
          <w:rFonts w:ascii="Calibri" w:hAnsi="Calibri"/>
          <w:b/>
          <w:color w:val="000000"/>
          <w:sz w:val="22"/>
        </w:rPr>
        <w:t>10.1  Broadband Speed Testing</w:t>
      </w:r>
    </w:p>
    <w:p>
      <w:r>
        <w:rPr>
          <w:b w:val="0"/>
          <w:i w:val="0"/>
        </w:rPr>
        <w:t>RIVR Tech shall conduct routine speed testing demonstrating delivery of at least the applicable service floor (100/20 Mbps) and any higher provisioned tier, using a documented methodology, and shall retain results for reporting and FCC/NTIA verification.</w:t>
      </w:r>
    </w:p>
    <w:p>
      <w:pPr>
        <w:pStyle w:val="Heading1"/>
        <w:spacing w:before="240" w:after="120"/>
      </w:pPr>
      <w:r>
        <w:rPr>
          <w:rFonts w:ascii="Calibri" w:hAnsi="Calibri"/>
          <w:b/>
          <w:color w:val="1F3864"/>
          <w:sz w:val="26"/>
        </w:rPr>
        <w:t>ARTICLE 11.  FCC AND NTIA PERFORMANCE REQUIREMENTS</w:t>
      </w:r>
    </w:p>
    <w:p>
      <w:pPr>
        <w:pStyle w:val="Heading2"/>
        <w:spacing w:before="160" w:after="60"/>
      </w:pPr>
      <w:r>
        <w:rPr>
          <w:rFonts w:ascii="Calibri" w:hAnsi="Calibri"/>
          <w:b/>
          <w:color w:val="000000"/>
          <w:sz w:val="22"/>
        </w:rPr>
        <w:t>11.1  Compliance</w:t>
      </w:r>
    </w:p>
    <w:p>
      <w:r>
        <w:rPr>
          <w:b w:val="0"/>
          <w:i w:val="0"/>
        </w:rPr>
        <w:t>RIVR Tech shall operate the Network in compliance with all applicable FCC and NTIA performance, service, and reporting requirements, including the Award's service milestones and speed/latency conditions, and shall support the Lumbee Tribe's Award reporting obligations under 2 CFR Part 200 (Uniform Administrative Requirements, Cost Principles, and Audit Requirements for Federal Awards).</w:t>
      </w:r>
    </w:p>
    <w:p>
      <w:pPr>
        <w:pStyle w:val="Heading2"/>
        <w:spacing w:before="160" w:after="60"/>
      </w:pPr>
      <w:r>
        <w:rPr>
          <w:rFonts w:ascii="Calibri" w:hAnsi="Calibri"/>
          <w:b/>
          <w:color w:val="000000"/>
          <w:sz w:val="22"/>
        </w:rPr>
        <w:t>11.2  Data for Award Reporting</w:t>
      </w:r>
    </w:p>
    <w:p>
      <w:r>
        <w:rPr>
          <w:b w:val="0"/>
          <w:i w:val="0"/>
        </w:rPr>
        <w:t>RIVR Tech shall provide the performance, availability, subscriber, and buildout data the Lumbee Tribe needs for TBCP and FCC reporting, including location-level service data, in the formats and on the schedule the Lumbee Tribe reasonably requires.</w:t>
      </w:r>
    </w:p>
    <w:p>
      <w:pPr>
        <w:pStyle w:val="Heading1"/>
        <w:spacing w:before="240" w:after="120"/>
      </w:pPr>
      <w:r>
        <w:rPr>
          <w:rFonts w:ascii="Calibri" w:hAnsi="Calibri"/>
          <w:b/>
          <w:color w:val="1F3864"/>
          <w:sz w:val="26"/>
        </w:rPr>
        <w:t>ARTICLE 12.  MONTHLY AND ANNUAL REPORTING</w:t>
      </w:r>
    </w:p>
    <w:p>
      <w:pPr>
        <w:pStyle w:val="Heading2"/>
        <w:spacing w:before="160" w:after="60"/>
      </w:pPr>
      <w:r>
        <w:rPr>
          <w:rFonts w:ascii="Calibri" w:hAnsi="Calibri"/>
          <w:b/>
          <w:color w:val="000000"/>
          <w:sz w:val="22"/>
        </w:rPr>
        <w:t>12.1  Monthly Report</w:t>
      </w:r>
    </w:p>
    <w:p>
      <w:r>
        <w:rPr>
          <w:b w:val="0"/>
          <w:i w:val="0"/>
        </w:rPr>
        <w:t xml:space="preserve">Within </w:t>
      </w:r>
      <w:r>
        <w:rPr>
          <w:b w:val="0"/>
          <w:i w:val="0"/>
          <w:color w:val="804000"/>
          <w:highlight w:val="yellow"/>
        </w:rPr>
        <w:t>[■ monthly report due day, e.g., 10 business days]</w:t>
      </w:r>
      <w:r>
        <w:rPr>
          <w:b w:val="0"/>
          <w:i w:val="0"/>
        </w:rPr>
        <w:t xml:space="preserve"> after each month, RIVR Tech shall deliver a report (per Exhibit J) covering: availability and performance versus standard; ticket log with Priority, response/dispatch/restoration times, and SLA attainment; outage causes; planned and preventive maintenance performed; locate activity and damages; spares status; and any service credits due.</w:t>
      </w:r>
    </w:p>
    <w:p>
      <w:pPr>
        <w:pStyle w:val="Heading2"/>
        <w:spacing w:before="160" w:after="60"/>
      </w:pPr>
      <w:r>
        <w:rPr>
          <w:rFonts w:ascii="Calibri" w:hAnsi="Calibri"/>
          <w:b/>
          <w:color w:val="000000"/>
          <w:sz w:val="22"/>
        </w:rPr>
        <w:t>12.2  Annual Report</w:t>
      </w:r>
    </w:p>
    <w:p>
      <w:r>
        <w:rPr>
          <w:b w:val="0"/>
          <w:i w:val="0"/>
        </w:rPr>
        <w:t>Annually, RIVR Tech shall deliver a consolidated report including trend analysis, chronic-problem review, capital/electronics refresh status, cybersecurity/DR test results, and a forward maintenance plan, supporting the Lumbee Tribe's Award and performance reporting.</w:t>
      </w:r>
    </w:p>
    <w:p>
      <w:pPr>
        <w:ind w:left="504"/>
      </w:pPr>
      <w:r>
        <w:rPr>
          <w:b/>
          <w:color w:val="007000"/>
        </w:rPr>
        <w:t xml:space="preserve">[TECHNICAL INFORMATION REQUIRED]  </w:t>
      </w:r>
      <w:r>
        <w:rPr>
          <w:i/>
          <w:color w:val="595959"/>
        </w:rPr>
        <w:t>Attach Exhibit J (Reporting Templates) defining exact monthly/annual report fields and delivery format.</w:t>
      </w:r>
    </w:p>
    <w:p>
      <w:pPr>
        <w:pStyle w:val="Heading1"/>
        <w:spacing w:before="240" w:after="120"/>
      </w:pPr>
      <w:r>
        <w:rPr>
          <w:rFonts w:ascii="Calibri" w:hAnsi="Calibri"/>
          <w:b/>
          <w:color w:val="1F3864"/>
          <w:sz w:val="26"/>
        </w:rPr>
        <w:t>ARTICLE 13.  SERVICE CREDITS, CORRECTIVE ACTION, AND CHRONIC FAILURE</w:t>
      </w:r>
    </w:p>
    <w:p>
      <w:pPr>
        <w:pStyle w:val="Heading2"/>
        <w:spacing w:before="160" w:after="60"/>
      </w:pPr>
      <w:r>
        <w:rPr>
          <w:rFonts w:ascii="Calibri" w:hAnsi="Calibri"/>
          <w:b/>
          <w:color w:val="000000"/>
          <w:sz w:val="22"/>
        </w:rPr>
        <w:t>13.1  Service Credits</w:t>
      </w:r>
    </w:p>
    <w:p>
      <w:r>
        <w:rPr>
          <w:b w:val="0"/>
          <w:i w:val="0"/>
        </w:rPr>
        <w:t>Failure to meet the committed standards entitles the Lumbee Tribe to service credits against amounts otherwise payable to RIVR Tech (or, where no such amounts exist, to the credit accrual mechanism in Document 02.04), on the following schedule. Credits are a remedy for performance misses and are without prejudice to step-in and default remedies: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F3864"/>
            <w:vAlign w:val="center"/>
          </w:tcPr>
          <w:p>
            <w:pPr>
              <w:jc w:val="center"/>
            </w:pPr>
            <w:r>
              <w:rPr>
                <w:b/>
                <w:color w:val="FFFFFF"/>
                <w:sz w:val="18"/>
              </w:rPr>
              <w:t>Miss Category</w:t>
            </w:r>
          </w:p>
        </w:tc>
        <w:tc>
          <w:tcPr>
            <w:tcW w:type="dxa" w:w="2736"/>
            <w:shd w:val="clear" w:color="auto" w:fill="1F3864"/>
            <w:vAlign w:val="center"/>
          </w:tcPr>
          <w:p>
            <w:pPr>
              <w:jc w:val="center"/>
            </w:pPr>
            <w:r>
              <w:rPr>
                <w:b/>
                <w:color w:val="FFFFFF"/>
                <w:sz w:val="18"/>
              </w:rPr>
              <w:t>Threshold</w:t>
            </w:r>
          </w:p>
        </w:tc>
        <w:tc>
          <w:tcPr>
            <w:tcW w:type="dxa" w:w="3888"/>
            <w:shd w:val="clear" w:color="auto" w:fill="1F3864"/>
            <w:vAlign w:val="center"/>
          </w:tcPr>
          <w:p>
            <w:pPr>
              <w:jc w:val="center"/>
            </w:pPr>
            <w:r>
              <w:rPr>
                <w:b/>
                <w:color w:val="FFFFFF"/>
                <w:sz w:val="18"/>
              </w:rPr>
              <w:t>Service Credit</w:t>
            </w:r>
          </w:p>
        </w:tc>
      </w:tr>
      <w:tr>
        <w:tc>
          <w:tcPr>
            <w:tcW w:type="dxa" w:w="2736"/>
            <w:vAlign w:val="center"/>
          </w:tcPr>
          <w:p>
            <w:r>
              <w:rPr>
                <w:b w:val="0"/>
                <w:i w:val="0"/>
                <w:sz w:val="18"/>
              </w:rPr>
              <w:t>Availability shortfall</w:t>
            </w:r>
          </w:p>
        </w:tc>
        <w:tc>
          <w:tcPr>
            <w:tcW w:type="dxa" w:w="2736"/>
            <w:vAlign w:val="center"/>
          </w:tcPr>
          <w:p>
            <w:r>
              <w:rPr>
                <w:b w:val="0"/>
                <w:i w:val="0"/>
                <w:sz w:val="18"/>
              </w:rPr>
              <w:t>Below 99.9% in a month</w:t>
            </w:r>
          </w:p>
        </w:tc>
        <w:tc>
          <w:tcPr>
            <w:tcW w:type="dxa" w:w="3888"/>
            <w:vAlign w:val="center"/>
          </w:tcPr>
          <w:p>
            <w:r>
              <w:rPr>
                <w:b w:val="0"/>
                <w:i w:val="0"/>
                <w:color w:val="804000"/>
                <w:sz w:val="18"/>
                <w:highlight w:val="yellow"/>
              </w:rPr>
              <w:t>[■ credit %, e.g., 5% of monthly maintenance fee per 0.1% below target, up to a monthly cap]</w:t>
            </w:r>
          </w:p>
        </w:tc>
      </w:tr>
      <w:tr>
        <w:tc>
          <w:tcPr>
            <w:tcW w:type="dxa" w:w="2736"/>
            <w:shd w:val="clear" w:color="auto" w:fill="F2F2F2"/>
            <w:vAlign w:val="center"/>
          </w:tcPr>
          <w:p>
            <w:r>
              <w:rPr>
                <w:b w:val="0"/>
                <w:i w:val="0"/>
                <w:sz w:val="18"/>
              </w:rPr>
              <w:t>P1 restoration miss</w:t>
            </w:r>
          </w:p>
        </w:tc>
        <w:tc>
          <w:tcPr>
            <w:tcW w:type="dxa" w:w="2736"/>
            <w:shd w:val="clear" w:color="auto" w:fill="F2F2F2"/>
            <w:vAlign w:val="center"/>
          </w:tcPr>
          <w:p>
            <w:r>
              <w:rPr>
                <w:b w:val="0"/>
                <w:i w:val="0"/>
                <w:sz w:val="18"/>
              </w:rPr>
              <w:t>Restoration exceeds 8 hr</w:t>
            </w:r>
          </w:p>
        </w:tc>
        <w:tc>
          <w:tcPr>
            <w:tcW w:type="dxa" w:w="3888"/>
            <w:shd w:val="clear" w:color="auto" w:fill="F2F2F2"/>
            <w:vAlign w:val="center"/>
          </w:tcPr>
          <w:p>
            <w:r>
              <w:rPr>
                <w:b w:val="0"/>
                <w:i w:val="0"/>
                <w:color w:val="804000"/>
                <w:sz w:val="18"/>
                <w:highlight w:val="yellow"/>
              </w:rPr>
              <w:t>[■ per-incident credit for P1 miss]</w:t>
            </w:r>
          </w:p>
        </w:tc>
      </w:tr>
      <w:tr>
        <w:tc>
          <w:tcPr>
            <w:tcW w:type="dxa" w:w="2736"/>
            <w:vAlign w:val="center"/>
          </w:tcPr>
          <w:p>
            <w:r>
              <w:rPr>
                <w:b w:val="0"/>
                <w:i w:val="0"/>
                <w:sz w:val="18"/>
              </w:rPr>
              <w:t>P2 restoration miss</w:t>
            </w:r>
          </w:p>
        </w:tc>
        <w:tc>
          <w:tcPr>
            <w:tcW w:type="dxa" w:w="2736"/>
            <w:vAlign w:val="center"/>
          </w:tcPr>
          <w:p>
            <w:r>
              <w:rPr>
                <w:b w:val="0"/>
                <w:i w:val="0"/>
                <w:sz w:val="18"/>
              </w:rPr>
              <w:t>Restoration exceeds 24 hr</w:t>
            </w:r>
          </w:p>
        </w:tc>
        <w:tc>
          <w:tcPr>
            <w:tcW w:type="dxa" w:w="3888"/>
            <w:vAlign w:val="center"/>
          </w:tcPr>
          <w:p>
            <w:r>
              <w:rPr>
                <w:b w:val="0"/>
                <w:i w:val="0"/>
                <w:color w:val="804000"/>
                <w:sz w:val="18"/>
                <w:highlight w:val="yellow"/>
              </w:rPr>
              <w:t>[■ per-incident credit for P2 miss]</w:t>
            </w:r>
          </w:p>
        </w:tc>
      </w:tr>
      <w:tr>
        <w:tc>
          <w:tcPr>
            <w:tcW w:type="dxa" w:w="2736"/>
            <w:shd w:val="clear" w:color="auto" w:fill="F2F2F2"/>
            <w:vAlign w:val="center"/>
          </w:tcPr>
          <w:p>
            <w:r>
              <w:rPr>
                <w:b w:val="0"/>
                <w:i w:val="0"/>
                <w:sz w:val="18"/>
              </w:rPr>
              <w:t>Latency / loss / jitter miss</w:t>
            </w:r>
          </w:p>
        </w:tc>
        <w:tc>
          <w:tcPr>
            <w:tcW w:type="dxa" w:w="2736"/>
            <w:shd w:val="clear" w:color="auto" w:fill="F2F2F2"/>
            <w:vAlign w:val="center"/>
          </w:tcPr>
          <w:p>
            <w:r>
              <w:rPr>
                <w:b w:val="0"/>
                <w:i w:val="0"/>
                <w:sz w:val="18"/>
              </w:rPr>
              <w:t>Exceeds 100 ms / 0.1% / 30 ms</w:t>
            </w:r>
          </w:p>
        </w:tc>
        <w:tc>
          <w:tcPr>
            <w:tcW w:type="dxa" w:w="3888"/>
            <w:shd w:val="clear" w:color="auto" w:fill="F2F2F2"/>
            <w:vAlign w:val="center"/>
          </w:tcPr>
          <w:p>
            <w:r>
              <w:rPr>
                <w:b w:val="0"/>
                <w:i w:val="0"/>
                <w:color w:val="804000"/>
                <w:sz w:val="18"/>
                <w:highlight w:val="yellow"/>
              </w:rPr>
              <w:t>[■ credit for sustained performance miss]</w:t>
            </w:r>
          </w:p>
        </w:tc>
      </w:tr>
      <w:tr>
        <w:tc>
          <w:tcPr>
            <w:tcW w:type="dxa" w:w="2736"/>
            <w:vAlign w:val="center"/>
          </w:tcPr>
          <w:p>
            <w:r>
              <w:rPr>
                <w:b w:val="0"/>
                <w:i w:val="0"/>
                <w:sz w:val="18"/>
              </w:rPr>
              <w:t>Essential-Services / 911 impact</w:t>
            </w:r>
          </w:p>
        </w:tc>
        <w:tc>
          <w:tcPr>
            <w:tcW w:type="dxa" w:w="2736"/>
            <w:vAlign w:val="center"/>
          </w:tcPr>
          <w:p>
            <w:r>
              <w:rPr>
                <w:b w:val="0"/>
                <w:i w:val="0"/>
                <w:sz w:val="18"/>
              </w:rPr>
              <w:t>Any avoidable Essential-Services outage</w:t>
            </w:r>
          </w:p>
        </w:tc>
        <w:tc>
          <w:tcPr>
            <w:tcW w:type="dxa" w:w="3888"/>
            <w:vAlign w:val="center"/>
          </w:tcPr>
          <w:p>
            <w:r>
              <w:rPr>
                <w:b w:val="0"/>
                <w:i w:val="0"/>
                <w:color w:val="804000"/>
                <w:sz w:val="18"/>
                <w:highlight w:val="yellow"/>
              </w:rPr>
              <w:t>[■ enhanced credit + mandatory root-cause and corrective action]</w:t>
            </w:r>
          </w:p>
        </w:tc>
      </w:tr>
    </w:tbl>
    <w:p>
      <w:pPr>
        <w:ind w:left="504"/>
      </w:pPr>
      <w:r>
        <w:rPr>
          <w:b/>
          <w:color w:val="C00000"/>
        </w:rPr>
        <w:t xml:space="preserve">[BUSINESS DECISION REQUIRED]  </w:t>
      </w:r>
      <w:r>
        <w:rPr>
          <w:i/>
          <w:color w:val="595959"/>
        </w:rPr>
        <w:t>Set the service-credit percentages, per-incident amounts, monthly caps, and the interaction with the maintenance fee and revenue share in Document 02.04.</w:t>
      </w:r>
    </w:p>
    <w:p>
      <w:pPr>
        <w:pStyle w:val="Heading2"/>
        <w:spacing w:before="160" w:after="60"/>
      </w:pPr>
      <w:r>
        <w:rPr>
          <w:rFonts w:ascii="Calibri" w:hAnsi="Calibri"/>
          <w:b/>
          <w:color w:val="000000"/>
          <w:sz w:val="22"/>
        </w:rPr>
        <w:t>13.2  Corrective Action</w:t>
      </w:r>
    </w:p>
    <w:p>
      <w:r>
        <w:rPr>
          <w:b w:val="0"/>
          <w:i w:val="0"/>
        </w:rPr>
        <w:t xml:space="preserve">On any repeated or Essential-Services miss, RIVR Tech shall deliver a root-cause analysis and corrective-action plan within </w:t>
      </w:r>
      <w:r>
        <w:rPr>
          <w:b w:val="0"/>
          <w:i w:val="0"/>
          <w:color w:val="804000"/>
          <w:highlight w:val="yellow"/>
        </w:rPr>
        <w:t>[■ RCA/CAP window, e.g., 10 business days]</w:t>
      </w:r>
      <w:r>
        <w:rPr>
          <w:b w:val="0"/>
          <w:i w:val="0"/>
        </w:rPr>
        <w:t xml:space="preserve"> and implement it on an agreed schedule.</w:t>
      </w:r>
    </w:p>
    <w:p>
      <w:pPr>
        <w:pStyle w:val="Heading2"/>
        <w:spacing w:before="160" w:after="60"/>
      </w:pPr>
      <w:r>
        <w:rPr>
          <w:rFonts w:ascii="Calibri" w:hAnsi="Calibri"/>
          <w:b/>
          <w:color w:val="000000"/>
          <w:sz w:val="22"/>
        </w:rPr>
        <w:t>13.3  Chronic Failure</w:t>
      </w:r>
    </w:p>
    <w:p>
      <w:r>
        <w:rPr>
          <w:b w:val="0"/>
          <w:i w:val="0"/>
        </w:rPr>
        <w:t xml:space="preserve">Chronic failure (e.g., </w:t>
      </w:r>
      <w:r>
        <w:rPr>
          <w:b w:val="0"/>
          <w:i w:val="0"/>
          <w:color w:val="804000"/>
          <w:highlight w:val="yellow"/>
        </w:rPr>
        <w:t>[■ chronic threshold, e.g., 3 P1 misses in 6 months or repeated availability shortfalls]</w:t>
      </w:r>
      <w:r>
        <w:rPr>
          <w:b w:val="0"/>
          <w:i w:val="0"/>
        </w:rPr>
        <w:t>) is a material performance default that triggers enhanced credits, mandatory corrective action, and the Lumbee Tribe's step-in and successor-operator rights.</w:t>
      </w:r>
    </w:p>
    <w:p>
      <w:pPr>
        <w:pStyle w:val="Heading2"/>
        <w:spacing w:before="160" w:after="60"/>
      </w:pPr>
      <w:r>
        <w:rPr>
          <w:rFonts w:ascii="Calibri" w:hAnsi="Calibri"/>
          <w:b/>
          <w:color w:val="000000"/>
          <w:sz w:val="22"/>
        </w:rPr>
        <w:t>13.4  Tribal Step-In Rights</w:t>
      </w:r>
    </w:p>
    <w:p>
      <w:r>
        <w:rPr>
          <w:b w:val="0"/>
          <w:i w:val="0"/>
        </w:rPr>
        <w:t>Upon chronic failure, threatened abandonment, or an uncured Essential-Services default, the Lumbee Tribe may exercise step-in rights (immediate, upon notice, where continuity of Essential Services, public safety, or compliance with the Award is imminently threatened) and, if necessary, transition operations to a successor operator, all as provided in Document 02.07 (Transition) and Document 02.02, Article 16.</w:t>
      </w:r>
    </w:p>
    <w:p>
      <w:pPr>
        <w:pStyle w:val="Heading1"/>
        <w:spacing w:before="240" w:after="120"/>
      </w:pPr>
      <w:r>
        <w:rPr>
          <w:rFonts w:ascii="Calibri" w:hAnsi="Calibri"/>
          <w:b/>
          <w:color w:val="1F3864"/>
          <w:sz w:val="26"/>
        </w:rPr>
        <w:t>ARTICLE 14.  MAINTENANCE PRICING, THIRD-PARTY DAMAGE RECOVERY, AND UNINSURED COSTS</w:t>
      </w:r>
    </w:p>
    <w:p>
      <w:pPr>
        <w:pStyle w:val="Heading2"/>
        <w:spacing w:before="160" w:after="60"/>
      </w:pPr>
      <w:r>
        <w:rPr>
          <w:rFonts w:ascii="Calibri" w:hAnsi="Calibri"/>
          <w:b/>
          <w:color w:val="000000"/>
          <w:sz w:val="22"/>
        </w:rPr>
        <w:t>14.1  Maintenance Pricing</w:t>
      </w:r>
    </w:p>
    <w:p>
      <w:r>
        <w:rPr>
          <w:b w:val="0"/>
          <w:i w:val="0"/>
        </w:rPr>
        <w:t xml:space="preserve">Compensation for the operations and maintenance services under this O&amp;M/SLA is set in Document 02.04 (Financial Schedule), in the amount of </w:t>
      </w:r>
      <w:r>
        <w:rPr>
          <w:b w:val="0"/>
          <w:i w:val="0"/>
          <w:color w:val="804000"/>
          <w:highlight w:val="yellow"/>
        </w:rPr>
        <w:t>[■ annual O&amp;M price / per-mile or per-strand maintenance rate]</w:t>
      </w:r>
      <w:r>
        <w:rPr>
          <w:b w:val="0"/>
          <w:i w:val="0"/>
        </w:rPr>
        <w:t>, subject to escalation and the service-credit offsets in Article 13.</w:t>
      </w:r>
    </w:p>
    <w:p>
      <w:pPr>
        <w:pStyle w:val="Heading2"/>
        <w:spacing w:before="160" w:after="60"/>
      </w:pPr>
      <w:r>
        <w:rPr>
          <w:rFonts w:ascii="Calibri" w:hAnsi="Calibri"/>
          <w:b/>
          <w:color w:val="000000"/>
          <w:sz w:val="22"/>
        </w:rPr>
        <w:t>14.2  Third-Party Damage Recovery</w:t>
      </w:r>
    </w:p>
    <w:p>
      <w:r>
        <w:rPr>
          <w:b w:val="0"/>
          <w:i w:val="0"/>
        </w:rPr>
        <w:t>RIVR Tech shall pursue recovery from third parties responsible for damage to the Network (e.g., dig-ins, vehicle strikes), documenting costs and coordinating with the Lumbee Tribe. Recoveries relating to Tribal Assets are applied first to restoration and to make the Lumbee Tribe whole; the Federal Interest attaches to recoveries relating to Tribal Assets.</w:t>
      </w:r>
    </w:p>
    <w:p>
      <w:pPr>
        <w:pStyle w:val="Heading2"/>
        <w:spacing w:before="160" w:after="60"/>
      </w:pPr>
      <w:r>
        <w:rPr>
          <w:rFonts w:ascii="Calibri" w:hAnsi="Calibri"/>
          <w:b/>
          <w:color w:val="000000"/>
          <w:sz w:val="22"/>
        </w:rPr>
        <w:t>14.3  Responsibility for Uninsured Costs</w:t>
      </w:r>
    </w:p>
    <w:p>
      <w:r>
        <w:rPr>
          <w:b w:val="0"/>
          <w:i w:val="0"/>
        </w:rPr>
        <w:t xml:space="preserve">Allocation of restoration costs not covered by insurance or third-party recovery is </w:t>
      </w:r>
      <w:r>
        <w:rPr>
          <w:b w:val="0"/>
          <w:i w:val="0"/>
          <w:color w:val="804000"/>
          <w:highlight w:val="yellow"/>
        </w:rPr>
        <w:t>[■ uninsured-cost allocation — operator / shared / reserve-funded formula]</w:t>
      </w:r>
      <w:r>
        <w:rPr>
          <w:b w:val="0"/>
          <w:i w:val="0"/>
        </w:rPr>
        <w:t>. RIVR Tech shall not diminish the Tribal Assets or the Federal Interest by deferring necessary restoration for cost-allocation disputes.</w:t>
      </w:r>
    </w:p>
    <w:p>
      <w:pPr>
        <w:ind w:left="504"/>
      </w:pPr>
      <w:r>
        <w:rPr>
          <w:b/>
          <w:color w:val="C00000"/>
        </w:rPr>
        <w:t xml:space="preserve">[BUSINESS DECISION REQUIRED]  </w:t>
      </w:r>
      <w:r>
        <w:rPr>
          <w:i/>
          <w:color w:val="595959"/>
        </w:rPr>
        <w:t>Set the O&amp;M pricing basis and the allocation of uninsured/unrecovered restoration costs; coordinate with the insurance limits (Document 02.02, Article 15) and the financial model (Document 02.04).</w:t>
      </w:r>
    </w:p>
    <w:p>
      <w:pPr>
        <w:pStyle w:val="Heading1"/>
        <w:spacing w:before="240" w:after="120"/>
      </w:pPr>
      <w:r>
        <w:rPr>
          <w:rFonts w:ascii="Calibri" w:hAnsi="Calibri"/>
          <w:b/>
          <w:color w:val="1F3864"/>
          <w:sz w:val="26"/>
        </w:rPr>
        <w:t>ARTICLE 15.  GENERAL PROVISIONS AND EXECUTION</w:t>
      </w:r>
    </w:p>
    <w:p>
      <w:pPr>
        <w:pStyle w:val="Heading2"/>
        <w:spacing w:before="160" w:after="60"/>
      </w:pPr>
      <w:r>
        <w:rPr>
          <w:rFonts w:ascii="Calibri" w:hAnsi="Calibri"/>
          <w:b/>
          <w:color w:val="000000"/>
          <w:sz w:val="22"/>
        </w:rPr>
        <w:t>15.1  Relationship to IRU Agreement</w:t>
      </w:r>
    </w:p>
    <w:p>
      <w:r>
        <w:rPr>
          <w:b w:val="0"/>
          <w:i w:val="0"/>
        </w:rPr>
        <w:t>This O&amp;M/SLA is subordinate to and incorporated into Document 02.02. In any conflict, Document 02.02 controls as to title, Federal Interest, and encumbrance; this O&amp;M/SLA controls as to operational and performance standards. The Award and federal requirements control over both.</w:t>
      </w:r>
    </w:p>
    <w:p>
      <w:pPr>
        <w:pStyle w:val="Heading2"/>
        <w:spacing w:before="160" w:after="60"/>
      </w:pPr>
      <w:r>
        <w:rPr>
          <w:rFonts w:ascii="Calibri" w:hAnsi="Calibri"/>
          <w:b/>
          <w:color w:val="000000"/>
          <w:sz w:val="22"/>
        </w:rPr>
        <w:t>15.2  Amendments</w:t>
      </w:r>
    </w:p>
    <w:p>
      <w:r>
        <w:rPr>
          <w:b w:val="0"/>
          <w:i w:val="0"/>
        </w:rPr>
        <w:t>Performance standards and pricing may be adjusted only by written amendment; no amendment may reduce Essential-Services protection or impair the Federal Interest without any Award-required consent.</w:t>
      </w:r>
    </w:p>
    <w:p>
      <w:pPr>
        <w:pStyle w:val="Heading2"/>
        <w:spacing w:before="160" w:after="60"/>
      </w:pPr>
      <w:r>
        <w:rPr>
          <w:rFonts w:ascii="Calibri" w:hAnsi="Calibri"/>
          <w:b/>
          <w:color w:val="000000"/>
          <w:sz w:val="22"/>
        </w:rPr>
        <w:t>15.3  Referenced Exhibits</w:t>
      </w:r>
    </w:p>
    <w:p>
      <w:r>
        <w:rPr>
          <w:b w:val="0"/>
          <w:i w:val="0"/>
        </w:rPr>
        <w:t>Exhibit H (Escalation Matrix) and Exhibit J (Reporting Templates) are incorporated by reference and shall be attached before execution.</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Confirm operational contacts, Exhibit H escalation matrix, and Exhibit J reporting templates, and reconcile all bracketed operational thresholds with the final network design before execution.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O&amp;M / SLA (Doc 02.03)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