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DRAFT FOR DISCUSSION – SUBJECT TO LEGAL, GRANT AND FINANCIAL REVIEW</w:t>
      </w:r>
    </w:p>
    <w:p/>
    <w:p/>
    <w:p/>
    <w:p>
      <w:pPr>
        <w:jc w:val="center"/>
      </w:pPr>
      <w:r>
        <w:rPr>
          <w:b/>
          <w:color w:val="595959"/>
          <w:sz w:val="24"/>
        </w:rPr>
        <w:t>Document 6 (Schedule 02.06 to the Master Agreement)</w:t>
      </w:r>
    </w:p>
    <w:p>
      <w:pPr>
        <w:jc w:val="center"/>
      </w:pPr>
      <w:r>
        <w:rPr>
          <w:b/>
          <w:color w:val="1F3864"/>
          <w:sz w:val="48"/>
        </w:rPr>
        <w:t>Data Privacy &amp; Cybersecurity Addendum</w:t>
      </w:r>
    </w:p>
    <w:p>
      <w:pPr>
        <w:jc w:val="center"/>
      </w:pPr>
      <w:r>
        <w:rPr>
          <w:color w:val="595959"/>
          <w:sz w:val="28"/>
        </w:rPr>
        <w:t>Customer Data, CPNI, Cybersecurity Standards, Incident Response and Tribal Data Sovereignty</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Draft v0.1</w:t>
      </w:r>
    </w:p>
    <w:p>
      <w:pPr>
        <w:jc w:val="center"/>
      </w:pPr>
      <w:r>
        <w:rPr>
          <w:b/>
          <w:sz w:val="20"/>
        </w:rPr>
        <w:t xml:space="preserve">Version Date:  </w:t>
      </w:r>
      <w:r>
        <w:rPr>
          <w:sz w:val="20"/>
        </w:rPr>
        <w:t>July 16,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DRAFT FOR DISCUSSION – SUBJECT TO LEGAL, GRANT AND FINANCIAL REVIEW</w:t>
      </w:r>
    </w:p>
    <w:p/>
    <w:p>
      <w:r>
        <w:rPr>
          <w:b w:val="0"/>
          <w:i w:val="0"/>
        </w:rPr>
        <w:t xml:space="preserve">This Data Privacy &amp; Cybersecurity Addendum (this “Addendum”) is entered into as of </w:t>
      </w:r>
      <w:r>
        <w:rPr>
          <w:b w:val="0"/>
          <w:i w:val="0"/>
          <w:color w:val="804000"/>
          <w:highlight w:val="yellow"/>
        </w:rPr>
        <w:t>[■ Effective Date — conform to Master Agreement Effective Date]</w:t>
      </w:r>
      <w:r>
        <w:rPr>
          <w:b w:val="0"/>
          <w:i w:val="0"/>
        </w:rPr>
        <w:t xml:space="preserve"> (the “Effective Date”), by and between Lumbee Tribe of North Carolina (the “Lumbee Tribe”), or a wholly owned Tribal entity or Tribally chartered instrumentality designated by the Lumbee Tribe, and LREMC Technologies, LLC d/b/a RIVR Tech (“RIVR Tech”). The Lumbee Tribe and RIVR Tech are each a “Party” and together the “Parties.” This Addendum is Schedule 02.06 to, and is incorporated by reference into, the Master IRU and Network Operations Agreement between the Parties (the “Master Agreement,” Document 02.01) and supplements the Operations, Maintenance and Service Level Agreement (the “O&amp;M/SLA,” Document 02.03).</w:t>
      </w:r>
    </w:p>
    <w:p>
      <w:pPr>
        <w:ind w:left="504"/>
      </w:pPr>
      <w:r>
        <w:rPr>
          <w:b/>
          <w:color w:val="7F007F"/>
        </w:rPr>
        <w:t xml:space="preserve">[GRANT COMPLIANCE REVIEW REQUIRED]  </w:t>
      </w:r>
      <w:r>
        <w:rPr>
          <w:i/>
          <w:color w:val="595959"/>
        </w:rPr>
        <w:t>The Lumbee Tribe’s status as an eligible entity under the Tribal Broadband Connectivity Program (TBCP) depends on federal-recognition status. See Lumbee Act of 1956, Pub. L. 84-570, 70 Stat. 254 (federal-recognition status affecting TBCP eligibility). Confirm eligibility and the flow-down of data, privacy, and security conditions from the NTIA Standard Terms and Conditions and Specific Award Conditions before execution.</w:t>
      </w:r>
    </w:p>
    <w:p>
      <w:pPr>
        <w:ind w:left="504"/>
      </w:pPr>
      <w:r>
        <w:rPr>
          <w:b/>
          <w:color w:val="0000C0"/>
        </w:rPr>
        <w:t xml:space="preserve">[ATTORNEY REVIEW REQUIRED]  </w:t>
      </w:r>
      <w:r>
        <w:rPr>
          <w:i/>
          <w:color w:val="595959"/>
        </w:rPr>
        <w:t>This Addendum allocates rights in customer and network data, defines security obligations, and recognizes Tribal data sovereignty. It must be reviewed by counsel for the Lumbee Tribe and by communications/privacy counsel (CPNI, FCC breach rules, and state breach-notification law) before execution.</w:t>
      </w:r>
    </w:p>
    <w:p>
      <w:pPr>
        <w:pStyle w:val="Heading1"/>
        <w:spacing w:before="240" w:after="120"/>
      </w:pPr>
      <w:r>
        <w:rPr>
          <w:rFonts w:ascii="Calibri" w:hAnsi="Calibri"/>
          <w:b/>
          <w:color w:val="1F3864"/>
          <w:sz w:val="26"/>
        </w:rPr>
        <w:t>ARTICLE 1.  PURPOSE, SCOPE AND INTEGRATION</w:t>
      </w:r>
    </w:p>
    <w:p>
      <w:pPr>
        <w:pStyle w:val="Heading2"/>
        <w:spacing w:before="160" w:after="60"/>
      </w:pPr>
      <w:r>
        <w:rPr>
          <w:rFonts w:ascii="Calibri" w:hAnsi="Calibri"/>
          <w:b/>
          <w:color w:val="000000"/>
          <w:sz w:val="22"/>
        </w:rPr>
        <w:t>1.1  Purpose</w:t>
      </w:r>
    </w:p>
    <w:p>
      <w:r>
        <w:rPr>
          <w:b w:val="0"/>
          <w:i w:val="0"/>
        </w:rPr>
        <w:t>The purpose of this Addendum is to allocate ownership of, and rights to use, Customer Data and Network Data relating to the hybrid Network; to establish the privacy, cybersecurity, and incident-response obligations of RIVR Tech as operator; to recognize and protect the Lumbee Tribe’s sovereign interest in data of its members and of subscribers within the Service Territory; and to ensure that Customer Data and records remain available to the Lumbee Tribe or a successor operator on expiration, termination, or transition.</w:t>
      </w:r>
    </w:p>
    <w:p>
      <w:pPr>
        <w:pStyle w:val="Heading2"/>
        <w:spacing w:before="160" w:after="60"/>
      </w:pPr>
      <w:r>
        <w:rPr>
          <w:rFonts w:ascii="Calibri" w:hAnsi="Calibri"/>
          <w:b/>
          <w:color w:val="000000"/>
          <w:sz w:val="22"/>
        </w:rPr>
        <w:t>1.2  Scope</w:t>
      </w:r>
    </w:p>
    <w:p>
      <w:r>
        <w:rPr>
          <w:b w:val="0"/>
          <w:i w:val="0"/>
        </w:rPr>
        <w:t>This Addendum applies to all Customer Data, CPNI, Personal Information, and Network Data that RIVR Tech, its Affiliates, or its subcontractors Process in connection with the deployment, operation, maintenance, marketing, billing, or support of services over the Network, including over the Tribal Assets and, to the extent used to serve subscribers in the Service Territory, the RIVR Tech Existing Network.</w:t>
      </w:r>
    </w:p>
    <w:p>
      <w:pPr>
        <w:pStyle w:val="Heading2"/>
        <w:spacing w:before="160" w:after="60"/>
      </w:pPr>
      <w:r>
        <w:rPr>
          <w:rFonts w:ascii="Calibri" w:hAnsi="Calibri"/>
          <w:b/>
          <w:color w:val="000000"/>
          <w:sz w:val="22"/>
        </w:rPr>
        <w:t>1.3  Relationship to the Master Agreement and O&amp;M/SLA</w:t>
      </w:r>
    </w:p>
    <w:p>
      <w:r>
        <w:rPr>
          <w:b w:val="0"/>
          <w:i w:val="0"/>
        </w:rPr>
        <w:t>This Addendum supplements and does not limit the Master Agreement or the O&amp;M/SLA. Cure periods, default mechanics, and step-in rights referenced herein are the same as those in the Master Agreement (Section 02.01) and the O&amp;M/SLA (Section 02.03): a 30-day cure period for monetary defaults and a 60-day cure period for non-monetary defaults, with an additional sixty (60) days if the breach is not reasonably curable within the initial period and the defaulting Party is diligently pursuing cure. In the event of a conflict, the order of precedence in Section 20.3 governs.</w:t>
      </w:r>
    </w:p>
    <w:p>
      <w:pPr>
        <w:pStyle w:val="Heading2"/>
        <w:spacing w:before="160" w:after="60"/>
      </w:pPr>
      <w:r>
        <w:rPr>
          <w:rFonts w:ascii="Calibri" w:hAnsi="Calibri"/>
          <w:b/>
          <w:color w:val="000000"/>
          <w:sz w:val="22"/>
        </w:rPr>
        <w:t>1.4  No Diminution of Federal or Tribal Rights</w:t>
      </w:r>
    </w:p>
    <w:p>
      <w:r>
        <w:rPr>
          <w:b w:val="0"/>
          <w:i w:val="0"/>
        </w:rPr>
        <w:t>Nothing in this Addendum waives, subordinates, or diminishes any right of the Lumbee Tribe or of the United States in the Tribal Assets or in any records, data, or intangible property in which a Federal Interest exists. Intangible property acquired or improved with TBCP funds is subject to 2 CFR 200.315 (Intangible property).</w:t>
      </w:r>
    </w:p>
    <w:p>
      <w:pPr>
        <w:pStyle w:val="Heading1"/>
        <w:spacing w:before="240" w:after="120"/>
      </w:pPr>
      <w:r>
        <w:rPr>
          <w:rFonts w:ascii="Calibri" w:hAnsi="Calibri"/>
          <w:b/>
          <w:color w:val="1F3864"/>
          <w:sz w:val="26"/>
        </w:rPr>
        <w:t>ARTICLE 2.  DEFINITIONS</w:t>
      </w:r>
    </w:p>
    <w:p>
      <w:r>
        <w:rPr>
          <w:b w:val="0"/>
          <w:i w:val="0"/>
        </w:rPr>
        <w:t>Capitalized terms used but not defined in this Addendum have the meanings given in the Master Agreement. As used in this Addendum:</w:t>
      </w:r>
    </w:p>
    <w:p>
      <w:pPr>
        <w:ind w:left="504"/>
      </w:pPr>
      <w:r>
        <w:rPr>
          <w:b/>
        </w:rPr>
        <w:t xml:space="preserve">(Customer Data)  </w:t>
      </w:r>
      <w:r>
        <w:rPr>
          <w:b w:val="0"/>
          <w:i w:val="0"/>
        </w:rPr>
        <w:t>“Customer Data” means all information relating to an identified or identifiable subscriber, applicant, or end user of services provided over the Network, including account, contact, service-address, usage, billing, payment, credit, support, and equipment information, and any Personal Information and CPNI contained therein.</w:t>
      </w:r>
    </w:p>
    <w:p>
      <w:pPr>
        <w:ind w:left="504"/>
      </w:pPr>
      <w:r>
        <w:rPr>
          <w:b/>
        </w:rPr>
        <w:t xml:space="preserve">(CPNI)  </w:t>
      </w:r>
      <w:r>
        <w:rPr>
          <w:b w:val="0"/>
          <w:i w:val="0"/>
        </w:rPr>
        <w:t>“CPNI” means Customer Proprietary Network Information as defined in 47 U.S.C. § 222 and 47 CFR §§ 64.2001–64.2011 (Customer Proprietary Network Information), including information that relates to the quantity, technical configuration, type, destination, location, and amount of use of a telecommunications or interconnected VoIP service, and information contained on the subscriber’s bill.</w:t>
      </w:r>
    </w:p>
    <w:p>
      <w:pPr>
        <w:ind w:left="504"/>
      </w:pPr>
      <w:r>
        <w:rPr>
          <w:b/>
        </w:rPr>
        <w:t xml:space="preserve">(Personal Information)  </w:t>
      </w:r>
      <w:r>
        <w:rPr>
          <w:b w:val="0"/>
          <w:i w:val="0"/>
        </w:rPr>
        <w:t>“Personal Information” means any information that identifies, relates to, or could reasonably be linked with a particular individual or household, as defined under applicable federal law, the law of North Carolina, and applicable Tribal law, including Sensitive Personal Information (e.g., government identifiers, financial-account and payment-card data, precise geolocation, and credentials).</w:t>
      </w:r>
    </w:p>
    <w:p>
      <w:pPr>
        <w:ind w:left="504"/>
      </w:pPr>
      <w:r>
        <w:rPr>
          <w:b/>
        </w:rPr>
        <w:t xml:space="preserve">(Network Data)  </w:t>
      </w:r>
      <w:r>
        <w:rPr>
          <w:b w:val="0"/>
          <w:i w:val="0"/>
        </w:rPr>
        <w:t>“Network Data” means operational, configuration, performance, telemetry, fault, and log data generated by or about the Network, exclusive of the personal content of subscriber communications.</w:t>
      </w:r>
    </w:p>
    <w:p>
      <w:pPr>
        <w:ind w:left="504"/>
      </w:pPr>
      <w:r>
        <w:rPr>
          <w:b/>
        </w:rPr>
        <w:t xml:space="preserve">(Tribal Data)  </w:t>
      </w:r>
      <w:r>
        <w:rPr>
          <w:b w:val="0"/>
          <w:i w:val="0"/>
        </w:rPr>
        <w:t>“Tribal Data” means Customer Data and Personal Information of enrolled members of the Lumbee Tribe of North Carolina and of subscribers whose service address is within the Service Territory, together with any data in which the Lumbee Tribe asserts a sovereign or proprietary interest under Article 16.</w:t>
      </w:r>
    </w:p>
    <w:p>
      <w:pPr>
        <w:ind w:left="504"/>
      </w:pPr>
      <w:r>
        <w:rPr>
          <w:b/>
        </w:rPr>
        <w:t xml:space="preserve">(Process” / “Processing)  </w:t>
      </w:r>
      <w:r>
        <w:rPr>
          <w:b w:val="0"/>
          <w:i w:val="0"/>
        </w:rPr>
        <w:t>“Process” / “Processing” means any operation performed on data, including collection, access, use, storage, transmission, disclosure, analysis, combination, retention, and destruction.</w:t>
      </w:r>
    </w:p>
    <w:p>
      <w:pPr>
        <w:ind w:left="504"/>
      </w:pPr>
      <w:r>
        <w:rPr>
          <w:b/>
        </w:rPr>
        <w:t xml:space="preserve">(Security Incident)  </w:t>
      </w:r>
      <w:r>
        <w:rPr>
          <w:b w:val="0"/>
          <w:i w:val="0"/>
        </w:rPr>
        <w:t>“Security Incident” means any actual or reasonably suspected unauthorized access to, acquisition of, use of, disclosure of, loss of, or interference with the confidentiality, integrity, or availability of Customer Data, CPNI, Personal Information, or the systems that Process them.</w:t>
      </w:r>
    </w:p>
    <w:p>
      <w:pPr>
        <w:ind w:left="504"/>
      </w:pPr>
      <w:r>
        <w:rPr>
          <w:b/>
        </w:rPr>
        <w:t xml:space="preserve">(Breach)  </w:t>
      </w:r>
      <w:r>
        <w:rPr>
          <w:b w:val="0"/>
          <w:i w:val="0"/>
        </w:rPr>
        <w:t>“Breach” means a Security Incident that triggers a notification obligation under the CPNI rules, the FCC’s customer-data breach rules, or an applicable state or Tribal breach-notification law.</w:t>
      </w:r>
    </w:p>
    <w:p>
      <w:pPr>
        <w:ind w:left="504"/>
      </w:pPr>
      <w:r>
        <w:rPr>
          <w:b/>
        </w:rPr>
        <w:t xml:space="preserve">(Subprocessor)  </w:t>
      </w:r>
      <w:r>
        <w:rPr>
          <w:b w:val="0"/>
          <w:i w:val="0"/>
        </w:rPr>
        <w:t>“Subprocessor” means any third party (including an Affiliate) engaged by RIVR Tech to Process Customer Data on its behalf.</w:t>
      </w:r>
    </w:p>
    <w:p>
      <w:pPr>
        <w:ind w:left="504"/>
      </w:pPr>
      <w:r>
        <w:rPr>
          <w:b/>
        </w:rPr>
        <w:t xml:space="preserve">(NIST CSF)  </w:t>
      </w:r>
      <w:r>
        <w:rPr>
          <w:b w:val="0"/>
          <w:i w:val="0"/>
        </w:rPr>
        <w:t>“NIST CSF” means the NIST Cybersecurity Framework (currently version 2.0).</w:t>
      </w:r>
    </w:p>
    <w:p>
      <w:pPr>
        <w:ind w:left="504"/>
      </w:pPr>
      <w:r>
        <w:rPr>
          <w:b/>
        </w:rPr>
        <w:t xml:space="preserve">(Covered Equipment)  </w:t>
      </w:r>
      <w:r>
        <w:rPr>
          <w:b w:val="0"/>
          <w:i w:val="0"/>
        </w:rPr>
        <w:t>“Covered Equipment” means telecommunications or video-surveillance equipment or services prohibited under 47 U.S.C. § 1601 et seq. (Section 889) and 2 CFR 200.216 (Prohibition on certain telecommunications and video surveillance — §889 covered equipment).</w:t>
      </w:r>
    </w:p>
    <w:p>
      <w:pPr>
        <w:pStyle w:val="Heading1"/>
        <w:spacing w:before="240" w:after="120"/>
      </w:pPr>
      <w:r>
        <w:rPr>
          <w:rFonts w:ascii="Calibri" w:hAnsi="Calibri"/>
          <w:b/>
          <w:color w:val="1F3864"/>
          <w:sz w:val="26"/>
        </w:rPr>
        <w:t>ARTICLE 3.  OWNERSHIP AND PERMITTED USE OF CUSTOMER DATA</w:t>
      </w:r>
    </w:p>
    <w:p>
      <w:pPr>
        <w:pStyle w:val="Heading2"/>
        <w:spacing w:before="160" w:after="60"/>
      </w:pPr>
      <w:r>
        <w:rPr>
          <w:rFonts w:ascii="Calibri" w:hAnsi="Calibri"/>
          <w:b/>
          <w:color w:val="000000"/>
          <w:sz w:val="22"/>
        </w:rPr>
        <w:t>3.1  Ownership — Alternatives</w:t>
      </w:r>
    </w:p>
    <w:p>
      <w:r>
        <w:rPr>
          <w:b w:val="0"/>
          <w:i w:val="0"/>
        </w:rPr>
        <w:t>The Parties have not finalized the allocation of ownership of Customer Data. The following alternatives are presented for decision:</w:t>
      </w:r>
    </w:p>
    <w:p>
      <w:pPr>
        <w:ind w:left="504"/>
      </w:pPr>
      <w:r>
        <w:rPr>
          <w:b/>
        </w:rPr>
        <w:t xml:space="preserve">(a)  </w:t>
      </w:r>
      <w:r>
        <w:rPr>
          <w:b w:val="0"/>
          <w:i w:val="0"/>
        </w:rPr>
        <w:t>Alternative A — Operator ownership. RIVR Tech owns Customer Data it collects, subject to a perpetual, royalty-free license to the Lumbee Tribe and the return/portability rights in Articles 17–18.</w:t>
      </w:r>
    </w:p>
    <w:p>
      <w:pPr>
        <w:ind w:left="504"/>
      </w:pPr>
      <w:r>
        <w:rPr>
          <w:b/>
        </w:rPr>
        <w:t xml:space="preserve">(b)  </w:t>
      </w:r>
      <w:r>
        <w:rPr>
          <w:b w:val="0"/>
          <w:i w:val="0"/>
        </w:rPr>
        <w:t>Alternative B — Tribal ownership. The Lumbee Tribe owns all Customer Data relating to subscribers in the Service Territory, and RIVR Tech holds a limited license to Process it solely to operate the Network and provide services.</w:t>
      </w:r>
    </w:p>
    <w:p>
      <w:pPr>
        <w:ind w:left="504"/>
      </w:pPr>
      <w:r>
        <w:rPr>
          <w:b/>
        </w:rPr>
        <w:t xml:space="preserve">(c)  </w:t>
      </w:r>
      <w:r>
        <w:rPr>
          <w:b w:val="0"/>
          <w:i w:val="0"/>
        </w:rPr>
        <w:t>Alternative C (RECOMMENDED) — Joint framework. The Parties adopt a joint stewardship framework: RIVR Tech owns Network Data and its own derived operational analytics; Customer Data is jointly held, with the Lumbee Tribe owning all Tribal Data and holding, at all times, a perpetual, irrevocable, royalty-free right to access, copy, and receive Customer Data in portable form, and with exclusive rights vesting in the Lumbee Tribe on transition to a successor operator (Article 18).</w:t>
      </w:r>
    </w:p>
    <w:p>
      <w:pPr>
        <w:ind w:left="504"/>
      </w:pPr>
      <w:r>
        <w:rPr>
          <w:b/>
          <w:color w:val="C00000"/>
        </w:rPr>
        <w:t xml:space="preserve">[BUSINESS DECISION REQUIRED]  </w:t>
      </w:r>
      <w:r>
        <w:rPr>
          <w:i/>
          <w:color w:val="595959"/>
        </w:rPr>
        <w:t>Ownership of Customer Data is a business decision with material downstream effects on marketing rights, data monetization, and transition leverage. RECOMMENDATION: adopt Alternative C (joint framework with Lumbee Tribe rights on transition). Confirm and set [■ selected ownership alternative and any revenue-data carve-outs].</w:t>
      </w:r>
    </w:p>
    <w:p>
      <w:pPr>
        <w:pStyle w:val="Heading2"/>
        <w:spacing w:before="160" w:after="60"/>
      </w:pPr>
      <w:r>
        <w:rPr>
          <w:rFonts w:ascii="Calibri" w:hAnsi="Calibri"/>
          <w:b/>
          <w:color w:val="000000"/>
          <w:sz w:val="22"/>
        </w:rPr>
        <w:t>3.2  Permitted Uses by RIVR Tech</w:t>
      </w:r>
    </w:p>
    <w:p>
      <w:r>
        <w:rPr>
          <w:b w:val="0"/>
          <w:i w:val="0"/>
        </w:rPr>
        <w:t>Regardless of the ownership alternative selected, RIVR Tech may Process Customer Data only to: (a) provide, bill for, maintain, and support services over the Network; (b) protect the security and integrity of the Network and prevent fraud; (c) comply with law and the Award; and (d) perform analytics in aggregated or de-identified form that cannot reasonably be re-identified. Any other use, including sale, licensing, or use for targeted advertising to third parties, requires the Lumbee Tribe’s prior written consent and, where applicable, subscriber consent under the CPNI rules.</w:t>
      </w:r>
    </w:p>
    <w:p>
      <w:pPr>
        <w:pStyle w:val="Heading2"/>
        <w:spacing w:before="160" w:after="60"/>
      </w:pPr>
      <w:r>
        <w:rPr>
          <w:rFonts w:ascii="Calibri" w:hAnsi="Calibri"/>
          <w:b/>
          <w:color w:val="000000"/>
          <w:sz w:val="22"/>
        </w:rPr>
        <w:t>3.3  Restrictions</w:t>
      </w:r>
    </w:p>
    <w:p>
      <w:r>
        <w:rPr>
          <w:b w:val="0"/>
          <w:i w:val="0"/>
        </w:rPr>
        <w:t>RIVR Tech shall not (a) sell Customer Data; (b) disclose Customer Data to any third party except a Subprocessor bound under Article 13 or as required by law under Article 15; (c) use Tribal Data outside the Service Territory except as permitted under Article 16; or (d) commingle Customer Data with other data in a manner that prevents its segregation, extraction, and return under Articles 17–18.</w:t>
      </w:r>
    </w:p>
    <w:p>
      <w:pPr>
        <w:pStyle w:val="Heading2"/>
        <w:spacing w:before="160" w:after="60"/>
      </w:pPr>
      <w:r>
        <w:rPr>
          <w:rFonts w:ascii="Calibri" w:hAnsi="Calibri"/>
          <w:b/>
          <w:color w:val="000000"/>
          <w:sz w:val="22"/>
        </w:rPr>
        <w:t>3.4  De-identified and Aggregated Data</w:t>
      </w:r>
    </w:p>
    <w:p>
      <w:r>
        <w:rPr>
          <w:b w:val="0"/>
          <w:i w:val="0"/>
        </w:rPr>
        <w:t>RIVR Tech may create and use de-identified or aggregated data derived from Customer Data, provided it (a) commits publicly not to attempt re-identification, (b) contractually binds recipients to the same restriction, and (c) does not disclose any dataset small enough to permit re-identification of individuals or households in the Service Territory.</w:t>
      </w:r>
    </w:p>
    <w:p>
      <w:pPr>
        <w:pStyle w:val="Heading1"/>
        <w:spacing w:before="240" w:after="120"/>
      </w:pPr>
      <w:r>
        <w:rPr>
          <w:rFonts w:ascii="Calibri" w:hAnsi="Calibri"/>
          <w:b/>
          <w:color w:val="1F3864"/>
          <w:sz w:val="26"/>
        </w:rPr>
        <w:t>ARTICLE 4.  CUSTOMER PROPRIETARY NETWORK INFORMATION (CPNI)</w:t>
      </w:r>
    </w:p>
    <w:p>
      <w:pPr>
        <w:pStyle w:val="Heading2"/>
        <w:spacing w:before="160" w:after="60"/>
      </w:pPr>
      <w:r>
        <w:rPr>
          <w:rFonts w:ascii="Calibri" w:hAnsi="Calibri"/>
          <w:b/>
          <w:color w:val="000000"/>
          <w:sz w:val="22"/>
        </w:rPr>
        <w:t>4.1  Compliance</w:t>
      </w:r>
    </w:p>
    <w:p>
      <w:r>
        <w:rPr>
          <w:b w:val="0"/>
          <w:i w:val="0"/>
        </w:rPr>
        <w:t>To the extent RIVR Tech provides telecommunications service or interconnected VoIP service over the Network, RIVR Tech shall comply with 47 U.S.C. § 222 and 47 CFR §§ 64.2001–64.2011 (Customer Proprietary Network Information) and shall maintain and, upon request, provide to the Lumbee Tribe the annual CPNI compliance certificate and accompanying statement filed with the FCC.</w:t>
      </w:r>
    </w:p>
    <w:p>
      <w:pPr>
        <w:pStyle w:val="Heading2"/>
        <w:spacing w:before="160" w:after="60"/>
      </w:pPr>
      <w:r>
        <w:rPr>
          <w:rFonts w:ascii="Calibri" w:hAnsi="Calibri"/>
          <w:b/>
          <w:color w:val="000000"/>
          <w:sz w:val="22"/>
        </w:rPr>
        <w:t>4.2  Use, Disclosure and Approval</w:t>
      </w:r>
    </w:p>
    <w:p>
      <w:r>
        <w:rPr>
          <w:b w:val="0"/>
          <w:i w:val="0"/>
        </w:rPr>
        <w:t>CPNI shall be used, disclosed, and permitted access to only as authorized by 47 U.S.C. § 222 and the FCC’s implementing rules, including the opt-in / opt-out approval, notice, and record-keeping requirements of 47 CFR §§ 64.2007–64.2009.</w:t>
      </w:r>
    </w:p>
    <w:p>
      <w:pPr>
        <w:pStyle w:val="Heading2"/>
        <w:spacing w:before="160" w:after="60"/>
      </w:pPr>
      <w:r>
        <w:rPr>
          <w:rFonts w:ascii="Calibri" w:hAnsi="Calibri"/>
          <w:b/>
          <w:color w:val="000000"/>
          <w:sz w:val="22"/>
        </w:rPr>
        <w:t>4.3  Safeguards and Authentication</w:t>
      </w:r>
    </w:p>
    <w:p>
      <w:r>
        <w:rPr>
          <w:b w:val="0"/>
          <w:i w:val="0"/>
        </w:rPr>
        <w:t>RIVR Tech shall implement the CPNI safeguards required by 47 CFR §§ 64.2009–64.2010, including authentication of subscribers before disclosing call-detail information, password and back-up authentication controls, and notification to subscribers of account changes.</w:t>
      </w:r>
    </w:p>
    <w:p>
      <w:pPr>
        <w:pStyle w:val="Heading2"/>
        <w:spacing w:before="160" w:after="60"/>
      </w:pPr>
      <w:r>
        <w:rPr>
          <w:rFonts w:ascii="Calibri" w:hAnsi="Calibri"/>
          <w:b/>
          <w:color w:val="000000"/>
          <w:sz w:val="22"/>
        </w:rPr>
        <w:t>4.4  CPNI Breach Notification</w:t>
      </w:r>
    </w:p>
    <w:p>
      <w:r>
        <w:rPr>
          <w:b w:val="0"/>
          <w:i w:val="0"/>
        </w:rPr>
        <w:t>RIVR Tech shall comply with the FCC’s CPNI and customer-data breach notification rules, including law-enforcement notification through the central reporting facility and subscriber notification within the timeframes required by the rules as then in effect. CPNI breach handling is coordinated with the incident process in Article 11.</w:t>
      </w:r>
    </w:p>
    <w:p>
      <w:pPr>
        <w:pStyle w:val="Heading1"/>
        <w:spacing w:before="240" w:after="120"/>
      </w:pPr>
      <w:r>
        <w:rPr>
          <w:rFonts w:ascii="Calibri" w:hAnsi="Calibri"/>
          <w:b/>
          <w:color w:val="1F3864"/>
          <w:sz w:val="26"/>
        </w:rPr>
        <w:t>ARTICLE 5.  PRIVACY NOTICES AND CONSENT</w:t>
      </w:r>
    </w:p>
    <w:p>
      <w:pPr>
        <w:pStyle w:val="Heading2"/>
        <w:spacing w:before="160" w:after="60"/>
      </w:pPr>
      <w:r>
        <w:rPr>
          <w:rFonts w:ascii="Calibri" w:hAnsi="Calibri"/>
          <w:b/>
          <w:color w:val="000000"/>
          <w:sz w:val="22"/>
        </w:rPr>
        <w:t>5.1  Privacy Notice</w:t>
      </w:r>
    </w:p>
    <w:p>
      <w:r>
        <w:rPr>
          <w:b w:val="0"/>
          <w:i w:val="0"/>
        </w:rPr>
        <w:t xml:space="preserve">RIVR Tech shall maintain a clear, accurate, and accessible privacy notice describing the categories of Customer Data Processed, the purposes of Processing, retention periods, subscriber choices, and how subscribers may exercise their rights. RIVR Tech shall provide the Lumbee Tribe a copy of each notice and each material revision at least </w:t>
      </w:r>
      <w:r>
        <w:rPr>
          <w:b w:val="0"/>
          <w:i w:val="0"/>
          <w:color w:val="804000"/>
          <w:highlight w:val="yellow"/>
        </w:rPr>
        <w:t>[■ notice-review period, e.g., 15 business days]</w:t>
      </w:r>
      <w:r>
        <w:rPr>
          <w:b w:val="0"/>
          <w:i w:val="0"/>
        </w:rPr>
        <w:t xml:space="preserve"> before it takes effect for subscribers in the Service Territory.</w:t>
      </w:r>
    </w:p>
    <w:p>
      <w:pPr>
        <w:pStyle w:val="Heading2"/>
        <w:spacing w:before="160" w:after="60"/>
      </w:pPr>
      <w:r>
        <w:rPr>
          <w:rFonts w:ascii="Calibri" w:hAnsi="Calibri"/>
          <w:b/>
          <w:color w:val="000000"/>
          <w:sz w:val="22"/>
        </w:rPr>
        <w:t>5.2  Consent and Choice</w:t>
      </w:r>
    </w:p>
    <w:p>
      <w:r>
        <w:rPr>
          <w:b w:val="0"/>
          <w:i w:val="0"/>
        </w:rPr>
        <w:t>Where consent is required by law or by this Addendum, RIVR Tech shall obtain and document it, and shall honor subscriber requests to access, correct, delete, or restrict Processing of their Personal Information to the extent required by applicable law, subject to record-retention and grant-compliance obligations.</w:t>
      </w:r>
    </w:p>
    <w:p>
      <w:pPr>
        <w:pStyle w:val="Heading2"/>
        <w:spacing w:before="160" w:after="60"/>
      </w:pPr>
      <w:r>
        <w:rPr>
          <w:rFonts w:ascii="Calibri" w:hAnsi="Calibri"/>
          <w:b/>
          <w:color w:val="000000"/>
          <w:sz w:val="22"/>
        </w:rPr>
        <w:t>5.3  Tribal Notice Coordination</w:t>
      </w:r>
    </w:p>
    <w:p>
      <w:r>
        <w:rPr>
          <w:b w:val="0"/>
          <w:i w:val="0"/>
        </w:rPr>
        <w:t>For subscribers in the Service Territory, RIVR Tech shall coordinate with the Lumbee Tribe so that privacy notices are consistent with any privacy or data-governance policy adopted by the Lumbee Tribe.</w:t>
      </w:r>
    </w:p>
    <w:p>
      <w:pPr>
        <w:pStyle w:val="Heading1"/>
        <w:spacing w:before="240" w:after="120"/>
      </w:pPr>
      <w:r>
        <w:rPr>
          <w:rFonts w:ascii="Calibri" w:hAnsi="Calibri"/>
          <w:b/>
          <w:color w:val="1F3864"/>
          <w:sz w:val="26"/>
        </w:rPr>
        <w:t>ARTICLE 6.  DATA RETENTION AND MINIMIZATION</w:t>
      </w:r>
    </w:p>
    <w:p>
      <w:pPr>
        <w:pStyle w:val="Heading2"/>
        <w:spacing w:before="160" w:after="60"/>
      </w:pPr>
      <w:r>
        <w:rPr>
          <w:rFonts w:ascii="Calibri" w:hAnsi="Calibri"/>
          <w:b/>
          <w:color w:val="000000"/>
          <w:sz w:val="22"/>
        </w:rPr>
        <w:t>6.1  Retention Principles</w:t>
      </w:r>
    </w:p>
    <w:p>
      <w:r>
        <w:rPr>
          <w:b w:val="0"/>
          <w:i w:val="0"/>
        </w:rPr>
        <w:t>RIVR Tech shall retain Customer Data only as long as necessary for the purposes for which it was collected, to comply with law and the Award, and to support billing disputes and audits, and shall then securely destroy or de-identify it under Article 17.</w:t>
      </w:r>
    </w:p>
    <w:p>
      <w:pPr>
        <w:pStyle w:val="Heading2"/>
        <w:spacing w:before="160" w:after="60"/>
      </w:pPr>
      <w:r>
        <w:rPr>
          <w:rFonts w:ascii="Calibri" w:hAnsi="Calibri"/>
          <w:b/>
          <w:color w:val="000000"/>
          <w:sz w:val="22"/>
        </w:rPr>
        <w:t>6.2  Grant Records Retention</w:t>
      </w:r>
    </w:p>
    <w:p>
      <w:r>
        <w:rPr>
          <w:b w:val="0"/>
          <w:i w:val="0"/>
        </w:rPr>
        <w:t>Records relating to the Award, including records necessary to substantiate Program Income, matching, and cost allowability, shall be retained for at least 3 years in accordance with 2 CFR 200.334–200.337 (Record retention and access; three-year retention) (measured from submission of the final financial report, and longer if litigation, claim, or audit is pending).</w:t>
      </w:r>
    </w:p>
    <w:p>
      <w:pPr>
        <w:pStyle w:val="Heading2"/>
        <w:spacing w:before="160" w:after="60"/>
      </w:pPr>
      <w:r>
        <w:rPr>
          <w:rFonts w:ascii="Calibri" w:hAnsi="Calibri"/>
          <w:b/>
          <w:color w:val="000000"/>
          <w:sz w:val="22"/>
        </w:rPr>
        <w:t>6.3  CPNI and Billing Retention</w:t>
      </w:r>
    </w:p>
    <w:p>
      <w:r>
        <w:rPr>
          <w:b w:val="0"/>
          <w:i w:val="0"/>
        </w:rPr>
        <w:t>CPNI, billing, and call-detail records shall be retained consistent with 47 CFR Part 42 and the CPNI rules, and no shorter than required by applicable law.</w:t>
      </w:r>
    </w:p>
    <w:p>
      <w:r>
        <w:rPr>
          <w:b w:val="0"/>
          <w:i/>
        </w:rPr>
        <w:t>The following retention schedule is a working default: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736"/>
            <w:shd w:val="clear" w:color="auto" w:fill="1F3864"/>
            <w:vAlign w:val="center"/>
          </w:tcPr>
          <w:p>
            <w:pPr>
              <w:jc w:val="center"/>
            </w:pPr>
            <w:r>
              <w:rPr>
                <w:b/>
                <w:color w:val="FFFFFF"/>
                <w:sz w:val="18"/>
              </w:rPr>
              <w:t>Data Category</w:t>
            </w:r>
          </w:p>
        </w:tc>
        <w:tc>
          <w:tcPr>
            <w:tcW w:type="dxa" w:w="2736"/>
            <w:shd w:val="clear" w:color="auto" w:fill="1F3864"/>
            <w:vAlign w:val="center"/>
          </w:tcPr>
          <w:p>
            <w:pPr>
              <w:jc w:val="center"/>
            </w:pPr>
            <w:r>
              <w:rPr>
                <w:b/>
                <w:color w:val="FFFFFF"/>
                <w:sz w:val="18"/>
              </w:rPr>
              <w:t>Illustrative Owner (per Art. 3)</w:t>
            </w:r>
          </w:p>
        </w:tc>
        <w:tc>
          <w:tcPr>
            <w:tcW w:type="dxa" w:w="2304"/>
            <w:shd w:val="clear" w:color="auto" w:fill="1F3864"/>
            <w:vAlign w:val="center"/>
          </w:tcPr>
          <w:p>
            <w:pPr>
              <w:jc w:val="center"/>
            </w:pPr>
            <w:r>
              <w:rPr>
                <w:b/>
                <w:color w:val="FFFFFF"/>
                <w:sz w:val="18"/>
              </w:rPr>
              <w:t>Retention Default</w:t>
            </w:r>
          </w:p>
        </w:tc>
        <w:tc>
          <w:tcPr>
            <w:tcW w:type="dxa" w:w="2880"/>
            <w:shd w:val="clear" w:color="auto" w:fill="1F3864"/>
            <w:vAlign w:val="center"/>
          </w:tcPr>
          <w:p>
            <w:pPr>
              <w:jc w:val="center"/>
            </w:pPr>
            <w:r>
              <w:rPr>
                <w:b/>
                <w:color w:val="FFFFFF"/>
                <w:sz w:val="18"/>
              </w:rPr>
              <w:t>Authority</w:t>
            </w:r>
          </w:p>
        </w:tc>
      </w:tr>
      <w:tr>
        <w:tc>
          <w:tcPr>
            <w:tcW w:type="dxa" w:w="2736"/>
            <w:vAlign w:val="center"/>
          </w:tcPr>
          <w:p>
            <w:r>
              <w:rPr>
                <w:b w:val="0"/>
                <w:i w:val="0"/>
                <w:sz w:val="18"/>
              </w:rPr>
              <w:t>Subscriber account &amp; contact</w:t>
            </w:r>
          </w:p>
        </w:tc>
        <w:tc>
          <w:tcPr>
            <w:tcW w:type="dxa" w:w="2736"/>
            <w:vAlign w:val="center"/>
          </w:tcPr>
          <w:p>
            <w:r>
              <w:rPr>
                <w:b w:val="0"/>
                <w:i w:val="0"/>
                <w:sz w:val="18"/>
              </w:rPr>
              <w:t>Joint / Lumbee Tribe (Tribal Data)</w:t>
            </w:r>
          </w:p>
        </w:tc>
        <w:tc>
          <w:tcPr>
            <w:tcW w:type="dxa" w:w="2304"/>
            <w:vAlign w:val="center"/>
          </w:tcPr>
          <w:p>
            <w:pPr>
              <w:jc w:val="center"/>
            </w:pPr>
            <w:r>
              <w:rPr>
                <w:b w:val="0"/>
                <w:i w:val="0"/>
                <w:color w:val="804000"/>
                <w:sz w:val="18"/>
                <w:highlight w:val="yellow"/>
              </w:rPr>
              <w:t>[■ e.g., life of account + 3 yrs]</w:t>
            </w:r>
          </w:p>
        </w:tc>
        <w:tc>
          <w:tcPr>
            <w:tcW w:type="dxa" w:w="2880"/>
            <w:vAlign w:val="center"/>
          </w:tcPr>
          <w:p>
            <w:r>
              <w:rPr>
                <w:b w:val="0"/>
                <w:i w:val="0"/>
                <w:sz w:val="18"/>
              </w:rPr>
              <w:t>Contract; state law</w:t>
            </w:r>
          </w:p>
        </w:tc>
      </w:tr>
      <w:tr>
        <w:tc>
          <w:tcPr>
            <w:tcW w:type="dxa" w:w="2736"/>
            <w:shd w:val="clear" w:color="auto" w:fill="F2F2F2"/>
            <w:vAlign w:val="center"/>
          </w:tcPr>
          <w:p>
            <w:r>
              <w:rPr>
                <w:b w:val="0"/>
                <w:i w:val="0"/>
                <w:sz w:val="18"/>
              </w:rPr>
              <w:t>Billing &amp; payment records</w:t>
            </w:r>
          </w:p>
        </w:tc>
        <w:tc>
          <w:tcPr>
            <w:tcW w:type="dxa" w:w="2736"/>
            <w:shd w:val="clear" w:color="auto" w:fill="F2F2F2"/>
            <w:vAlign w:val="center"/>
          </w:tcPr>
          <w:p>
            <w:r>
              <w:rPr>
                <w:b w:val="0"/>
                <w:i w:val="0"/>
                <w:sz w:val="18"/>
              </w:rPr>
              <w:t>Joint</w:t>
            </w:r>
          </w:p>
        </w:tc>
        <w:tc>
          <w:tcPr>
            <w:tcW w:type="dxa" w:w="2304"/>
            <w:shd w:val="clear" w:color="auto" w:fill="F2F2F2"/>
            <w:vAlign w:val="center"/>
          </w:tcPr>
          <w:p>
            <w:pPr>
              <w:jc w:val="center"/>
            </w:pPr>
            <w:r>
              <w:rPr>
                <w:b w:val="0"/>
                <w:i w:val="0"/>
                <w:sz w:val="18"/>
              </w:rPr>
              <w:t xml:space="preserve">No less than </w:t>
            </w:r>
            <w:r>
              <w:rPr>
                <w:b w:val="0"/>
                <w:i w:val="0"/>
                <w:color w:val="804000"/>
                <w:sz w:val="18"/>
                <w:highlight w:val="yellow"/>
              </w:rPr>
              <w:t>[■ e.g., 3–7 yrs]</w:t>
            </w:r>
          </w:p>
        </w:tc>
        <w:tc>
          <w:tcPr>
            <w:tcW w:type="dxa" w:w="2880"/>
            <w:shd w:val="clear" w:color="auto" w:fill="F2F2F2"/>
            <w:vAlign w:val="center"/>
          </w:tcPr>
          <w:p>
            <w:r>
              <w:rPr>
                <w:b w:val="0"/>
                <w:i w:val="0"/>
                <w:sz w:val="18"/>
              </w:rPr>
              <w:t>47 CFR Pt 42; 2 CFR 200.334–200.337 (Record retention and access; three-year retention)</w:t>
            </w:r>
          </w:p>
        </w:tc>
      </w:tr>
      <w:tr>
        <w:tc>
          <w:tcPr>
            <w:tcW w:type="dxa" w:w="2736"/>
            <w:vAlign w:val="center"/>
          </w:tcPr>
          <w:p>
            <w:r>
              <w:rPr>
                <w:b w:val="0"/>
                <w:i w:val="0"/>
                <w:sz w:val="18"/>
              </w:rPr>
              <w:t>CPNI / call-detail</w:t>
            </w:r>
          </w:p>
        </w:tc>
        <w:tc>
          <w:tcPr>
            <w:tcW w:type="dxa" w:w="2736"/>
            <w:vAlign w:val="center"/>
          </w:tcPr>
          <w:p>
            <w:r>
              <w:rPr>
                <w:b w:val="0"/>
                <w:i w:val="0"/>
                <w:sz w:val="18"/>
              </w:rPr>
              <w:t>RIVR Tech steward</w:t>
            </w:r>
          </w:p>
        </w:tc>
        <w:tc>
          <w:tcPr>
            <w:tcW w:type="dxa" w:w="2304"/>
            <w:vAlign w:val="center"/>
          </w:tcPr>
          <w:p>
            <w:pPr>
              <w:jc w:val="center"/>
            </w:pPr>
            <w:r>
              <w:rPr>
                <w:b w:val="0"/>
                <w:i w:val="0"/>
                <w:color w:val="804000"/>
                <w:sz w:val="18"/>
                <w:highlight w:val="yellow"/>
              </w:rPr>
              <w:t>[■ per FCC / 47 CFR Pt 42]</w:t>
            </w:r>
          </w:p>
        </w:tc>
        <w:tc>
          <w:tcPr>
            <w:tcW w:type="dxa" w:w="2880"/>
            <w:vAlign w:val="center"/>
          </w:tcPr>
          <w:p>
            <w:r>
              <w:rPr>
                <w:b w:val="0"/>
                <w:i w:val="0"/>
                <w:sz w:val="18"/>
              </w:rPr>
              <w:t>47 U.S.C. § 222 and 47 CFR §§ 64.2001–64.2011 (Customer Proprietary Network Information)</w:t>
            </w:r>
          </w:p>
        </w:tc>
      </w:tr>
      <w:tr>
        <w:tc>
          <w:tcPr>
            <w:tcW w:type="dxa" w:w="2736"/>
            <w:shd w:val="clear" w:color="auto" w:fill="F2F2F2"/>
            <w:vAlign w:val="center"/>
          </w:tcPr>
          <w:p>
            <w:r>
              <w:rPr>
                <w:b w:val="0"/>
                <w:i w:val="0"/>
                <w:sz w:val="18"/>
              </w:rPr>
              <w:t>Grant-substantiation records</w:t>
            </w:r>
          </w:p>
        </w:tc>
        <w:tc>
          <w:tcPr>
            <w:tcW w:type="dxa" w:w="2736"/>
            <w:shd w:val="clear" w:color="auto" w:fill="F2F2F2"/>
            <w:vAlign w:val="center"/>
          </w:tcPr>
          <w:p>
            <w:r>
              <w:rPr>
                <w:b w:val="0"/>
                <w:i w:val="0"/>
                <w:sz w:val="18"/>
              </w:rPr>
              <w:t>Lumbee Tribe (Federal Interest)</w:t>
            </w:r>
          </w:p>
        </w:tc>
        <w:tc>
          <w:tcPr>
            <w:tcW w:type="dxa" w:w="2304"/>
            <w:shd w:val="clear" w:color="auto" w:fill="F2F2F2"/>
            <w:vAlign w:val="center"/>
          </w:tcPr>
          <w:p>
            <w:pPr>
              <w:jc w:val="center"/>
            </w:pPr>
            <w:r>
              <w:rPr>
                <w:b w:val="0"/>
                <w:i w:val="0"/>
                <w:sz w:val="18"/>
              </w:rPr>
              <w:t>≥ 3 yrs from final report</w:t>
            </w:r>
          </w:p>
        </w:tc>
        <w:tc>
          <w:tcPr>
            <w:tcW w:type="dxa" w:w="2880"/>
            <w:shd w:val="clear" w:color="auto" w:fill="F2F2F2"/>
            <w:vAlign w:val="center"/>
          </w:tcPr>
          <w:p>
            <w:r>
              <w:rPr>
                <w:b w:val="0"/>
                <w:i w:val="0"/>
                <w:sz w:val="18"/>
              </w:rPr>
              <w:t>2 CFR 200.334–200.337 (Record retention and access; three-year retention)</w:t>
            </w:r>
          </w:p>
        </w:tc>
      </w:tr>
      <w:tr>
        <w:tc>
          <w:tcPr>
            <w:tcW w:type="dxa" w:w="2736"/>
            <w:vAlign w:val="center"/>
          </w:tcPr>
          <w:p>
            <w:r>
              <w:rPr>
                <w:b w:val="0"/>
                <w:i w:val="0"/>
                <w:sz w:val="18"/>
              </w:rPr>
              <w:t>Network telemetry / logs</w:t>
            </w:r>
          </w:p>
        </w:tc>
        <w:tc>
          <w:tcPr>
            <w:tcW w:type="dxa" w:w="2736"/>
            <w:vAlign w:val="center"/>
          </w:tcPr>
          <w:p>
            <w:r>
              <w:rPr>
                <w:b w:val="0"/>
                <w:i w:val="0"/>
                <w:sz w:val="18"/>
              </w:rPr>
              <w:t>RIVR Tech</w:t>
            </w:r>
          </w:p>
        </w:tc>
        <w:tc>
          <w:tcPr>
            <w:tcW w:type="dxa" w:w="2304"/>
            <w:vAlign w:val="center"/>
          </w:tcPr>
          <w:p>
            <w:pPr>
              <w:jc w:val="center"/>
            </w:pPr>
            <w:r>
              <w:rPr>
                <w:b w:val="0"/>
                <w:i w:val="0"/>
                <w:color w:val="804000"/>
                <w:sz w:val="18"/>
                <w:highlight w:val="yellow"/>
              </w:rPr>
              <w:t>[■ e.g., 12–24 months]</w:t>
            </w:r>
          </w:p>
        </w:tc>
        <w:tc>
          <w:tcPr>
            <w:tcW w:type="dxa" w:w="2880"/>
            <w:vAlign w:val="center"/>
          </w:tcPr>
          <w:p>
            <w:r>
              <w:rPr>
                <w:b w:val="0"/>
                <w:i w:val="0"/>
                <w:sz w:val="18"/>
              </w:rPr>
              <w:t>Security best practice</w:t>
            </w:r>
          </w:p>
        </w:tc>
      </w:tr>
      <w:tr>
        <w:tc>
          <w:tcPr>
            <w:tcW w:type="dxa" w:w="2736"/>
            <w:shd w:val="clear" w:color="auto" w:fill="F2F2F2"/>
            <w:vAlign w:val="center"/>
          </w:tcPr>
          <w:p>
            <w:r>
              <w:rPr>
                <w:b w:val="0"/>
                <w:i w:val="0"/>
                <w:sz w:val="18"/>
              </w:rPr>
              <w:t>Security-incident records</w:t>
            </w:r>
          </w:p>
        </w:tc>
        <w:tc>
          <w:tcPr>
            <w:tcW w:type="dxa" w:w="2736"/>
            <w:shd w:val="clear" w:color="auto" w:fill="F2F2F2"/>
            <w:vAlign w:val="center"/>
          </w:tcPr>
          <w:p>
            <w:r>
              <w:rPr>
                <w:b w:val="0"/>
                <w:i w:val="0"/>
                <w:sz w:val="18"/>
              </w:rPr>
              <w:t>Joint</w:t>
            </w:r>
          </w:p>
        </w:tc>
        <w:tc>
          <w:tcPr>
            <w:tcW w:type="dxa" w:w="2304"/>
            <w:shd w:val="clear" w:color="auto" w:fill="F2F2F2"/>
            <w:vAlign w:val="center"/>
          </w:tcPr>
          <w:p>
            <w:pPr>
              <w:jc w:val="center"/>
            </w:pPr>
            <w:r>
              <w:rPr>
                <w:b w:val="0"/>
                <w:i w:val="0"/>
                <w:color w:val="804000"/>
                <w:sz w:val="18"/>
                <w:highlight w:val="yellow"/>
              </w:rPr>
              <w:t>[■ e.g., ≥ 3 yrs]</w:t>
            </w:r>
          </w:p>
        </w:tc>
        <w:tc>
          <w:tcPr>
            <w:tcW w:type="dxa" w:w="2880"/>
            <w:shd w:val="clear" w:color="auto" w:fill="F2F2F2"/>
            <w:vAlign w:val="center"/>
          </w:tcPr>
          <w:p>
            <w:r>
              <w:rPr>
                <w:b w:val="0"/>
                <w:i w:val="0"/>
                <w:sz w:val="18"/>
              </w:rPr>
              <w:t>NIST CSF; breach rules</w:t>
            </w:r>
          </w:p>
        </w:tc>
      </w:tr>
    </w:tbl>
    <w:p>
      <w:pPr>
        <w:ind w:left="504"/>
      </w:pPr>
      <w:r>
        <w:rPr>
          <w:b/>
          <w:color w:val="0000C0"/>
        </w:rPr>
        <w:t xml:space="preserve">[ATTORNEY REVIEW REQUIRED]  </w:t>
      </w:r>
      <w:r>
        <w:rPr>
          <w:i/>
          <w:color w:val="595959"/>
        </w:rPr>
        <w:t>Confirm retention periods against the final CPNI rules, 47 CFR Part 42, state breach-notification law, and any Tribal records policy. Retention must not fall below the grant three-year floor for Award-related records.</w:t>
      </w:r>
    </w:p>
    <w:p>
      <w:pPr>
        <w:pStyle w:val="Heading1"/>
        <w:spacing w:before="240" w:after="120"/>
      </w:pPr>
      <w:r>
        <w:rPr>
          <w:rFonts w:ascii="Calibri" w:hAnsi="Calibri"/>
          <w:b/>
          <w:color w:val="1F3864"/>
          <w:sz w:val="26"/>
        </w:rPr>
        <w:t>ARTICLE 7.  CYBERSECURITY PROGRAM AND STANDARDS</w:t>
      </w:r>
    </w:p>
    <w:p>
      <w:pPr>
        <w:pStyle w:val="Heading2"/>
        <w:spacing w:before="160" w:after="60"/>
      </w:pPr>
      <w:r>
        <w:rPr>
          <w:rFonts w:ascii="Calibri" w:hAnsi="Calibri"/>
          <w:b/>
          <w:color w:val="000000"/>
          <w:sz w:val="22"/>
        </w:rPr>
        <w:t>7.1  Security Program</w:t>
      </w:r>
    </w:p>
    <w:p>
      <w:r>
        <w:rPr>
          <w:b w:val="0"/>
          <w:i w:val="0"/>
        </w:rPr>
        <w:t>RIVR Tech shall establish, maintain, and continuously improve a written information-security program that is aligned with the NIST Cybersecurity Framework (Govern, Identify, Protect, Detect, Respond, Recover) and that implements controls consistent with NIST SP 800-53 (moderate baseline as a target) and applicable CISA guidance (including CISA Cyber Performance Goals). The program shall be commensurate with the risk and sensitivity of the Customer Data and the criticality of the Network.</w:t>
      </w:r>
    </w:p>
    <w:p>
      <w:pPr>
        <w:pStyle w:val="Heading2"/>
        <w:spacing w:before="160" w:after="60"/>
      </w:pPr>
      <w:r>
        <w:rPr>
          <w:rFonts w:ascii="Calibri" w:hAnsi="Calibri"/>
          <w:b/>
          <w:color w:val="000000"/>
          <w:sz w:val="22"/>
        </w:rPr>
        <w:t>7.2  Covered-Equipment Prohibition (Section 889)</w:t>
      </w:r>
    </w:p>
    <w:p>
      <w:r>
        <w:rPr>
          <w:b w:val="0"/>
          <w:i w:val="0"/>
        </w:rPr>
        <w:t>RIVR Tech shall not use Award funds to procure or use, and shall not connect to the Tribal Assets, any Covered Equipment prohibited under 2 CFR 200.216 (Prohibition on certain telecommunications and video surveillance — §889 covered equipment). RIVR Tech shall represent compliance and promptly disclose any discovered Covered Equipment and its remediation plan.</w:t>
      </w:r>
    </w:p>
    <w:p>
      <w:pPr>
        <w:pStyle w:val="Heading2"/>
        <w:spacing w:before="160" w:after="60"/>
      </w:pPr>
      <w:r>
        <w:rPr>
          <w:rFonts w:ascii="Calibri" w:hAnsi="Calibri"/>
          <w:b/>
          <w:color w:val="000000"/>
          <w:sz w:val="22"/>
        </w:rPr>
        <w:t>7.3  Governance and Personnel</w:t>
      </w:r>
    </w:p>
    <w:p>
      <w:r>
        <w:rPr>
          <w:b w:val="0"/>
          <w:i w:val="0"/>
        </w:rPr>
        <w:t>RIVR Tech shall designate a security officer accountable for the program, conduct background screening consistent with law for personnel with access to Customer Data, and provide annual security and privacy (including CPNI) training.</w:t>
      </w:r>
    </w:p>
    <w:p>
      <w:pPr>
        <w:pStyle w:val="Heading2"/>
        <w:spacing w:before="160" w:after="60"/>
      </w:pPr>
      <w:r>
        <w:rPr>
          <w:rFonts w:ascii="Calibri" w:hAnsi="Calibri"/>
          <w:b/>
          <w:color w:val="000000"/>
          <w:sz w:val="22"/>
        </w:rPr>
        <w:t>7.4  Risk Assessment and Testing</w:t>
      </w:r>
    </w:p>
    <w:p>
      <w:r>
        <w:rPr>
          <w:b w:val="0"/>
          <w:i w:val="0"/>
        </w:rPr>
        <w:t xml:space="preserve">RIVR Tech shall perform at least an annual risk assessment and </w:t>
      </w:r>
      <w:r>
        <w:rPr>
          <w:b w:val="0"/>
          <w:i w:val="0"/>
          <w:color w:val="804000"/>
          <w:highlight w:val="yellow"/>
        </w:rPr>
        <w:t>[■ penetration-test / independent assessment cadence, e.g., annual]</w:t>
      </w:r>
      <w:r>
        <w:rPr>
          <w:b w:val="0"/>
          <w:i w:val="0"/>
        </w:rPr>
        <w:t>, remediate findings on a risk-prioritized basis, and provide the Lumbee Tribe a summary of results and remediation status on request.</w:t>
      </w:r>
    </w:p>
    <w:p>
      <w:pPr>
        <w:pStyle w:val="Heading2"/>
        <w:spacing w:before="160" w:after="60"/>
      </w:pPr>
      <w:r>
        <w:rPr>
          <w:rFonts w:ascii="Calibri" w:hAnsi="Calibri"/>
          <w:b/>
          <w:color w:val="000000"/>
          <w:sz w:val="22"/>
        </w:rPr>
        <w:t>7.5  Audit and Evidence</w:t>
      </w:r>
    </w:p>
    <w:p>
      <w:r>
        <w:rPr>
          <w:b w:val="0"/>
          <w:i w:val="0"/>
        </w:rPr>
        <w:t xml:space="preserve">On reasonable notice and no more than </w:t>
      </w:r>
      <w:r>
        <w:rPr>
          <w:b w:val="0"/>
          <w:i w:val="0"/>
          <w:color w:val="804000"/>
          <w:highlight w:val="yellow"/>
        </w:rPr>
        <w:t>[■ frequency, e.g., annually]</w:t>
      </w:r>
      <w:r>
        <w:rPr>
          <w:b w:val="0"/>
          <w:i w:val="0"/>
        </w:rPr>
        <w:t xml:space="preserve"> (and after any Breach), the Lumbee Tribe or its designee may review RIVR Tech’s security certifications (e.g., SOC 2 Type II, if any), policies, and evidence of control operation, subject to confidentiality.</w:t>
      </w:r>
    </w:p>
    <w:p>
      <w:pPr>
        <w:pStyle w:val="Heading1"/>
        <w:spacing w:before="240" w:after="120"/>
      </w:pPr>
      <w:r>
        <w:rPr>
          <w:rFonts w:ascii="Calibri" w:hAnsi="Calibri"/>
          <w:b/>
          <w:color w:val="1F3864"/>
          <w:sz w:val="26"/>
        </w:rPr>
        <w:t>ARTICLE 8.  ACCESS CONTROLS</w:t>
      </w:r>
    </w:p>
    <w:p>
      <w:pPr>
        <w:pStyle w:val="Heading2"/>
        <w:spacing w:before="160" w:after="60"/>
      </w:pPr>
      <w:r>
        <w:rPr>
          <w:rFonts w:ascii="Calibri" w:hAnsi="Calibri"/>
          <w:b/>
          <w:color w:val="000000"/>
          <w:sz w:val="22"/>
        </w:rPr>
        <w:t>8.1  Least Privilege and MFA</w:t>
      </w:r>
    </w:p>
    <w:p>
      <w:r>
        <w:rPr>
          <w:b w:val="0"/>
          <w:i w:val="0"/>
        </w:rPr>
        <w:t>RIVR Tech shall enforce role-based, least-privilege access; require multi-factor authentication for all remote and administrative access to systems that Process Customer Data; and uniquely identify and authenticate each user (no shared administrative credentials except in audited break-glass procedures).</w:t>
      </w:r>
    </w:p>
    <w:p>
      <w:pPr>
        <w:pStyle w:val="Heading2"/>
        <w:spacing w:before="160" w:after="60"/>
      </w:pPr>
      <w:r>
        <w:rPr>
          <w:rFonts w:ascii="Calibri" w:hAnsi="Calibri"/>
          <w:b/>
          <w:color w:val="000000"/>
          <w:sz w:val="22"/>
        </w:rPr>
        <w:t>8.2  Provisioning and Review</w:t>
      </w:r>
    </w:p>
    <w:p>
      <w:r>
        <w:rPr>
          <w:b w:val="0"/>
          <w:i w:val="0"/>
        </w:rPr>
        <w:t xml:space="preserve">Access shall be provisioned on documented approval, reviewed at least quarterly, and revoked promptly (within </w:t>
      </w:r>
      <w:r>
        <w:rPr>
          <w:b w:val="0"/>
          <w:i w:val="0"/>
          <w:color w:val="804000"/>
          <w:highlight w:val="yellow"/>
        </w:rPr>
        <w:t>[■ e.g., 24 hours]</w:t>
      </w:r>
      <w:r>
        <w:rPr>
          <w:b w:val="0"/>
          <w:i w:val="0"/>
        </w:rPr>
        <w:t>) upon role change or separation.</w:t>
      </w:r>
    </w:p>
    <w:p>
      <w:pPr>
        <w:pStyle w:val="Heading2"/>
        <w:spacing w:before="160" w:after="60"/>
      </w:pPr>
      <w:r>
        <w:rPr>
          <w:rFonts w:ascii="Calibri" w:hAnsi="Calibri"/>
          <w:b/>
          <w:color w:val="000000"/>
          <w:sz w:val="22"/>
        </w:rPr>
        <w:t>8.3  Logging and Monitoring</w:t>
      </w:r>
    </w:p>
    <w:p>
      <w:r>
        <w:rPr>
          <w:b w:val="0"/>
          <w:i w:val="0"/>
        </w:rPr>
        <w:t>RIVR Tech shall log access to and administrative actions on systems that Process Customer Data, protect logs from tampering, and monitor for anomalous activity consistent with the Detect function of the NIST CSF.</w:t>
      </w:r>
    </w:p>
    <w:p>
      <w:pPr>
        <w:pStyle w:val="Heading1"/>
        <w:spacing w:before="240" w:after="120"/>
      </w:pPr>
      <w:r>
        <w:rPr>
          <w:rFonts w:ascii="Calibri" w:hAnsi="Calibri"/>
          <w:b/>
          <w:color w:val="1F3864"/>
          <w:sz w:val="26"/>
        </w:rPr>
        <w:t>ARTICLE 9.  ENCRYPTION</w:t>
      </w:r>
    </w:p>
    <w:p>
      <w:pPr>
        <w:pStyle w:val="Heading2"/>
        <w:spacing w:before="160" w:after="60"/>
      </w:pPr>
      <w:r>
        <w:rPr>
          <w:rFonts w:ascii="Calibri" w:hAnsi="Calibri"/>
          <w:b/>
          <w:color w:val="000000"/>
          <w:sz w:val="22"/>
        </w:rPr>
        <w:t>9.1  Encryption in Transit</w:t>
      </w:r>
    </w:p>
    <w:p>
      <w:r>
        <w:rPr>
          <w:b w:val="0"/>
          <w:i w:val="0"/>
        </w:rPr>
        <w:t>RIVR Tech shall encrypt Customer Data in transit over public or untrusted networks using current, non-deprecated protocols (e.g., TLS 1.2 or higher) and strong cipher suites.</w:t>
      </w:r>
    </w:p>
    <w:p>
      <w:pPr>
        <w:pStyle w:val="Heading2"/>
        <w:spacing w:before="160" w:after="60"/>
      </w:pPr>
      <w:r>
        <w:rPr>
          <w:rFonts w:ascii="Calibri" w:hAnsi="Calibri"/>
          <w:b/>
          <w:color w:val="000000"/>
          <w:sz w:val="22"/>
        </w:rPr>
        <w:t>9.2  Encryption at Rest</w:t>
      </w:r>
    </w:p>
    <w:p>
      <w:r>
        <w:rPr>
          <w:b w:val="0"/>
          <w:i w:val="0"/>
        </w:rPr>
        <w:t>RIVR Tech shall encrypt Customer Data at rest, including in databases, backups, and portable media, using industry-standard algorithms (e.g., AES-256) and shall not store Sensitive Personal Information or credentials in plaintext.</w:t>
      </w:r>
    </w:p>
    <w:p>
      <w:pPr>
        <w:pStyle w:val="Heading2"/>
        <w:spacing w:before="160" w:after="60"/>
      </w:pPr>
      <w:r>
        <w:rPr>
          <w:rFonts w:ascii="Calibri" w:hAnsi="Calibri"/>
          <w:b/>
          <w:color w:val="000000"/>
          <w:sz w:val="22"/>
        </w:rPr>
        <w:t>9.3  Key Management</w:t>
      </w:r>
    </w:p>
    <w:p>
      <w:r>
        <w:rPr>
          <w:b w:val="0"/>
          <w:i w:val="0"/>
        </w:rPr>
        <w:t>RIVR Tech shall manage cryptographic keys under a documented key-management process, including secure generation, storage separate from the data they protect, rotation, and revocation.</w:t>
      </w:r>
    </w:p>
    <w:p>
      <w:pPr>
        <w:pStyle w:val="Heading1"/>
        <w:spacing w:before="240" w:after="120"/>
      </w:pPr>
      <w:r>
        <w:rPr>
          <w:rFonts w:ascii="Calibri" w:hAnsi="Calibri"/>
          <w:b/>
          <w:color w:val="1F3864"/>
          <w:sz w:val="26"/>
        </w:rPr>
        <w:t>ARTICLE 10.  VULNERABILITY AND PATCH MANAGEMENT</w:t>
      </w:r>
    </w:p>
    <w:p>
      <w:pPr>
        <w:pStyle w:val="Heading2"/>
        <w:spacing w:before="160" w:after="60"/>
      </w:pPr>
      <w:r>
        <w:rPr>
          <w:rFonts w:ascii="Calibri" w:hAnsi="Calibri"/>
          <w:b/>
          <w:color w:val="000000"/>
          <w:sz w:val="22"/>
        </w:rPr>
        <w:t>10.1  Program</w:t>
      </w:r>
    </w:p>
    <w:p>
      <w:r>
        <w:rPr>
          <w:b w:val="0"/>
          <w:i w:val="0"/>
        </w:rPr>
        <w:t>RIVR Tech shall maintain a vulnerability-management program that identifies, prioritizes, and remediates vulnerabilities on a risk-based schedule.</w:t>
      </w:r>
    </w:p>
    <w:p>
      <w:r>
        <w:rPr>
          <w:b w:val="0"/>
          <w:i/>
        </w:rPr>
        <w:t>The following remediation targets are a working default:</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color="auto" w:fill="1F3864"/>
            <w:vAlign w:val="center"/>
          </w:tcPr>
          <w:p>
            <w:pPr>
              <w:jc w:val="center"/>
            </w:pPr>
            <w:r>
              <w:rPr>
                <w:b/>
                <w:color w:val="FFFFFF"/>
                <w:sz w:val="18"/>
              </w:rPr>
              <w:t>Severity</w:t>
            </w:r>
          </w:p>
        </w:tc>
        <w:tc>
          <w:tcPr>
            <w:tcW w:type="dxa" w:w="5184"/>
            <w:shd w:val="clear" w:color="auto" w:fill="1F3864"/>
            <w:vAlign w:val="center"/>
          </w:tcPr>
          <w:p>
            <w:pPr>
              <w:jc w:val="center"/>
            </w:pPr>
            <w:r>
              <w:rPr>
                <w:b/>
                <w:color w:val="FFFFFF"/>
                <w:sz w:val="18"/>
              </w:rPr>
              <w:t>Illustrative Definition</w:t>
            </w:r>
          </w:p>
        </w:tc>
        <w:tc>
          <w:tcPr>
            <w:tcW w:type="dxa" w:w="2880"/>
            <w:shd w:val="clear" w:color="auto" w:fill="1F3864"/>
            <w:vAlign w:val="center"/>
          </w:tcPr>
          <w:p>
            <w:pPr>
              <w:jc w:val="center"/>
            </w:pPr>
            <w:r>
              <w:rPr>
                <w:b/>
                <w:color w:val="FFFFFF"/>
                <w:sz w:val="18"/>
              </w:rPr>
              <w:t>Remediation Target</w:t>
            </w:r>
          </w:p>
        </w:tc>
      </w:tr>
      <w:tr>
        <w:tc>
          <w:tcPr>
            <w:tcW w:type="dxa" w:w="1584"/>
            <w:vAlign w:val="center"/>
          </w:tcPr>
          <w:p>
            <w:pPr>
              <w:jc w:val="center"/>
            </w:pPr>
            <w:r>
              <w:rPr>
                <w:b w:val="0"/>
                <w:i w:val="0"/>
                <w:sz w:val="18"/>
              </w:rPr>
              <w:t>Critical</w:t>
            </w:r>
          </w:p>
        </w:tc>
        <w:tc>
          <w:tcPr>
            <w:tcW w:type="dxa" w:w="5184"/>
            <w:vAlign w:val="center"/>
          </w:tcPr>
          <w:p>
            <w:r>
              <w:rPr>
                <w:b w:val="0"/>
                <w:i w:val="0"/>
                <w:sz w:val="18"/>
              </w:rPr>
              <w:t>Actively exploited / remote code execution on exposed system</w:t>
            </w:r>
          </w:p>
        </w:tc>
        <w:tc>
          <w:tcPr>
            <w:tcW w:type="dxa" w:w="2880"/>
            <w:vAlign w:val="center"/>
          </w:tcPr>
          <w:p>
            <w:pPr>
              <w:jc w:val="center"/>
            </w:pPr>
            <w:r>
              <w:rPr>
                <w:b w:val="0"/>
                <w:i w:val="0"/>
                <w:color w:val="804000"/>
                <w:sz w:val="18"/>
                <w:highlight w:val="yellow"/>
              </w:rPr>
              <w:t>[■ e.g., 7 days / emergency]</w:t>
            </w:r>
          </w:p>
        </w:tc>
      </w:tr>
      <w:tr>
        <w:tc>
          <w:tcPr>
            <w:tcW w:type="dxa" w:w="1584"/>
            <w:shd w:val="clear" w:color="auto" w:fill="F2F2F2"/>
            <w:vAlign w:val="center"/>
          </w:tcPr>
          <w:p>
            <w:pPr>
              <w:jc w:val="center"/>
            </w:pPr>
            <w:r>
              <w:rPr>
                <w:b w:val="0"/>
                <w:i w:val="0"/>
                <w:sz w:val="18"/>
              </w:rPr>
              <w:t>High</w:t>
            </w:r>
          </w:p>
        </w:tc>
        <w:tc>
          <w:tcPr>
            <w:tcW w:type="dxa" w:w="5184"/>
            <w:shd w:val="clear" w:color="auto" w:fill="F2F2F2"/>
            <w:vAlign w:val="center"/>
          </w:tcPr>
          <w:p>
            <w:r>
              <w:rPr>
                <w:b w:val="0"/>
                <w:i w:val="0"/>
                <w:sz w:val="18"/>
              </w:rPr>
              <w:t>Exploitable, significant impact</w:t>
            </w:r>
          </w:p>
        </w:tc>
        <w:tc>
          <w:tcPr>
            <w:tcW w:type="dxa" w:w="2880"/>
            <w:shd w:val="clear" w:color="auto" w:fill="F2F2F2"/>
            <w:vAlign w:val="center"/>
          </w:tcPr>
          <w:p>
            <w:pPr>
              <w:jc w:val="center"/>
            </w:pPr>
            <w:r>
              <w:rPr>
                <w:b w:val="0"/>
                <w:i w:val="0"/>
                <w:color w:val="804000"/>
                <w:sz w:val="18"/>
                <w:highlight w:val="yellow"/>
              </w:rPr>
              <w:t>[■ e.g., 30 days]</w:t>
            </w:r>
          </w:p>
        </w:tc>
      </w:tr>
      <w:tr>
        <w:tc>
          <w:tcPr>
            <w:tcW w:type="dxa" w:w="1584"/>
            <w:vAlign w:val="center"/>
          </w:tcPr>
          <w:p>
            <w:pPr>
              <w:jc w:val="center"/>
            </w:pPr>
            <w:r>
              <w:rPr>
                <w:b w:val="0"/>
                <w:i w:val="0"/>
                <w:sz w:val="18"/>
              </w:rPr>
              <w:t>Medium</w:t>
            </w:r>
          </w:p>
        </w:tc>
        <w:tc>
          <w:tcPr>
            <w:tcW w:type="dxa" w:w="5184"/>
            <w:vAlign w:val="center"/>
          </w:tcPr>
          <w:p>
            <w:r>
              <w:rPr>
                <w:b w:val="0"/>
                <w:i w:val="0"/>
                <w:sz w:val="18"/>
              </w:rPr>
              <w:t>Limited impact / harder to exploit</w:t>
            </w:r>
          </w:p>
        </w:tc>
        <w:tc>
          <w:tcPr>
            <w:tcW w:type="dxa" w:w="2880"/>
            <w:vAlign w:val="center"/>
          </w:tcPr>
          <w:p>
            <w:pPr>
              <w:jc w:val="center"/>
            </w:pPr>
            <w:r>
              <w:rPr>
                <w:b w:val="0"/>
                <w:i w:val="0"/>
                <w:color w:val="804000"/>
                <w:sz w:val="18"/>
                <w:highlight w:val="yellow"/>
              </w:rPr>
              <w:t>[■ e.g., 90 days]</w:t>
            </w:r>
          </w:p>
        </w:tc>
      </w:tr>
      <w:tr>
        <w:tc>
          <w:tcPr>
            <w:tcW w:type="dxa" w:w="1584"/>
            <w:shd w:val="clear" w:color="auto" w:fill="F2F2F2"/>
            <w:vAlign w:val="center"/>
          </w:tcPr>
          <w:p>
            <w:pPr>
              <w:jc w:val="center"/>
            </w:pPr>
            <w:r>
              <w:rPr>
                <w:b w:val="0"/>
                <w:i w:val="0"/>
                <w:sz w:val="18"/>
              </w:rPr>
              <w:t>Low</w:t>
            </w:r>
          </w:p>
        </w:tc>
        <w:tc>
          <w:tcPr>
            <w:tcW w:type="dxa" w:w="5184"/>
            <w:shd w:val="clear" w:color="auto" w:fill="F2F2F2"/>
            <w:vAlign w:val="center"/>
          </w:tcPr>
          <w:p>
            <w:r>
              <w:rPr>
                <w:b w:val="0"/>
                <w:i w:val="0"/>
                <w:sz w:val="18"/>
              </w:rPr>
              <w:t>Minimal impact</w:t>
            </w:r>
          </w:p>
        </w:tc>
        <w:tc>
          <w:tcPr>
            <w:tcW w:type="dxa" w:w="2880"/>
            <w:shd w:val="clear" w:color="auto" w:fill="F2F2F2"/>
            <w:vAlign w:val="center"/>
          </w:tcPr>
          <w:p>
            <w:pPr>
              <w:jc w:val="center"/>
            </w:pPr>
            <w:r>
              <w:rPr>
                <w:b w:val="0"/>
                <w:i w:val="0"/>
                <w:color w:val="804000"/>
                <w:sz w:val="18"/>
                <w:highlight w:val="yellow"/>
              </w:rPr>
              <w:t>[■ e.g., next maintenance cycle]</w:t>
            </w:r>
          </w:p>
        </w:tc>
      </w:tr>
    </w:tbl>
    <w:p>
      <w:pPr>
        <w:pStyle w:val="Heading2"/>
        <w:spacing w:before="160" w:after="60"/>
      </w:pPr>
      <w:r>
        <w:rPr>
          <w:rFonts w:ascii="Calibri" w:hAnsi="Calibri"/>
          <w:b/>
          <w:color w:val="000000"/>
          <w:sz w:val="22"/>
        </w:rPr>
        <w:t>10.2  Secure Development and Change</w:t>
      </w:r>
    </w:p>
    <w:p>
      <w:r>
        <w:rPr>
          <w:b w:val="0"/>
          <w:i w:val="0"/>
        </w:rPr>
        <w:t>Changes to systems that Process Customer Data shall follow documented change-management and secure-configuration practices, with segregation of duties for production changes.</w:t>
      </w:r>
    </w:p>
    <w:p>
      <w:pPr>
        <w:pStyle w:val="Heading1"/>
        <w:spacing w:before="240" w:after="120"/>
      </w:pPr>
      <w:r>
        <w:rPr>
          <w:rFonts w:ascii="Calibri" w:hAnsi="Calibri"/>
          <w:b/>
          <w:color w:val="1F3864"/>
          <w:sz w:val="26"/>
        </w:rPr>
        <w:t>ARTICLE 11.  SECURITY INCIDENT AND BREACH NOTIFICATION</w:t>
      </w:r>
    </w:p>
    <w:p>
      <w:pPr>
        <w:pStyle w:val="Heading2"/>
        <w:spacing w:before="160" w:after="60"/>
      </w:pPr>
      <w:r>
        <w:rPr>
          <w:rFonts w:ascii="Calibri" w:hAnsi="Calibri"/>
          <w:b/>
          <w:color w:val="000000"/>
          <w:sz w:val="22"/>
        </w:rPr>
        <w:t>11.1  Incident Response Plan</w:t>
      </w:r>
    </w:p>
    <w:p>
      <w:r>
        <w:rPr>
          <w:b w:val="0"/>
          <w:i w:val="0"/>
        </w:rPr>
        <w:t>RIVR Tech shall maintain a written incident-response plan aligned with the Respond and Recover functions of the NIST CSF, test it at least annually, and coordinate incident handling with the O&amp;M/SLA (Document 02.03) severity and escalation model.</w:t>
      </w:r>
    </w:p>
    <w:p>
      <w:pPr>
        <w:pStyle w:val="Heading2"/>
        <w:spacing w:before="160" w:after="60"/>
      </w:pPr>
      <w:r>
        <w:rPr>
          <w:rFonts w:ascii="Calibri" w:hAnsi="Calibri"/>
          <w:b/>
          <w:color w:val="000000"/>
          <w:sz w:val="22"/>
        </w:rPr>
        <w:t>11.2  Notification to the Lumbee Tribe</w:t>
      </w:r>
    </w:p>
    <w:p>
      <w:r>
        <w:rPr>
          <w:b w:val="0"/>
          <w:i w:val="0"/>
        </w:rPr>
        <w:t xml:space="preserve">RIVR Tech shall notify the Lumbee Tribe of a Security Incident affecting, or reasonably likely to affect, Customer Data or Tribal Data without undue delay and no later than </w:t>
      </w:r>
      <w:r>
        <w:rPr>
          <w:b w:val="0"/>
          <w:i w:val="0"/>
          <w:color w:val="804000"/>
          <w:highlight w:val="yellow"/>
        </w:rPr>
        <w:t>[■ e.g., 24–72]</w:t>
      </w:r>
      <w:r>
        <w:rPr>
          <w:b w:val="0"/>
          <w:i w:val="0"/>
        </w:rPr>
        <w:t xml:space="preserve"> hours after RIVR Tech becomes aware of it, and shall provide updates as material facts develop.</w:t>
      </w:r>
    </w:p>
    <w:p>
      <w:r>
        <w:rPr>
          <w:b w:val="0"/>
          <w:i/>
        </w:rPr>
        <w:t>The following notification defaults are proposed: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val="clear" w:color="auto" w:fill="1F3864"/>
            <w:vAlign w:val="center"/>
          </w:tcPr>
          <w:p>
            <w:pPr>
              <w:jc w:val="center"/>
            </w:pPr>
            <w:r>
              <w:rPr>
                <w:b/>
                <w:color w:val="FFFFFF"/>
                <w:sz w:val="18"/>
              </w:rPr>
              <w:t>Event</w:t>
            </w:r>
          </w:p>
        </w:tc>
        <w:tc>
          <w:tcPr>
            <w:tcW w:type="dxa" w:w="2880"/>
            <w:shd w:val="clear" w:color="auto" w:fill="1F3864"/>
            <w:vAlign w:val="center"/>
          </w:tcPr>
          <w:p>
            <w:pPr>
              <w:jc w:val="center"/>
            </w:pPr>
            <w:r>
              <w:rPr>
                <w:b/>
                <w:color w:val="FFFFFF"/>
                <w:sz w:val="18"/>
              </w:rPr>
              <w:t>Notify Whom</w:t>
            </w:r>
          </w:p>
        </w:tc>
        <w:tc>
          <w:tcPr>
            <w:tcW w:type="dxa" w:w="2448"/>
            <w:shd w:val="clear" w:color="auto" w:fill="1F3864"/>
            <w:vAlign w:val="center"/>
          </w:tcPr>
          <w:p>
            <w:pPr>
              <w:jc w:val="center"/>
            </w:pPr>
            <w:r>
              <w:rPr>
                <w:b/>
                <w:color w:val="FFFFFF"/>
                <w:sz w:val="18"/>
              </w:rPr>
              <w:t>Default Timeline</w:t>
            </w:r>
          </w:p>
        </w:tc>
        <w:tc>
          <w:tcPr>
            <w:tcW w:type="dxa" w:w="2304"/>
            <w:shd w:val="clear" w:color="auto" w:fill="1F3864"/>
            <w:vAlign w:val="center"/>
          </w:tcPr>
          <w:p>
            <w:pPr>
              <w:jc w:val="center"/>
            </w:pPr>
            <w:r>
              <w:rPr>
                <w:b/>
                <w:color w:val="FFFFFF"/>
                <w:sz w:val="18"/>
              </w:rPr>
              <w:t>Authority / Cross-ref</w:t>
            </w:r>
          </w:p>
        </w:tc>
      </w:tr>
      <w:tr>
        <w:tc>
          <w:tcPr>
            <w:tcW w:type="dxa" w:w="3168"/>
            <w:vAlign w:val="center"/>
          </w:tcPr>
          <w:p>
            <w:r>
              <w:rPr>
                <w:b w:val="0"/>
                <w:i w:val="0"/>
                <w:sz w:val="18"/>
              </w:rPr>
              <w:t>Suspected Security Incident (Tribal Data)</w:t>
            </w:r>
          </w:p>
        </w:tc>
        <w:tc>
          <w:tcPr>
            <w:tcW w:type="dxa" w:w="2880"/>
            <w:vAlign w:val="center"/>
          </w:tcPr>
          <w:p>
            <w:r>
              <w:rPr>
                <w:b w:val="0"/>
                <w:i w:val="0"/>
                <w:sz w:val="18"/>
              </w:rPr>
              <w:t>Lumbee Tribe security contact</w:t>
            </w:r>
          </w:p>
        </w:tc>
        <w:tc>
          <w:tcPr>
            <w:tcW w:type="dxa" w:w="2448"/>
            <w:vAlign w:val="center"/>
          </w:tcPr>
          <w:p>
            <w:pPr>
              <w:jc w:val="center"/>
            </w:pPr>
            <w:r>
              <w:rPr>
                <w:b w:val="0"/>
                <w:i w:val="0"/>
                <w:color w:val="804000"/>
                <w:sz w:val="18"/>
                <w:highlight w:val="yellow"/>
              </w:rPr>
              <w:t>[■ e.g., within 24 hrs of awareness]</w:t>
            </w:r>
          </w:p>
        </w:tc>
        <w:tc>
          <w:tcPr>
            <w:tcW w:type="dxa" w:w="2304"/>
            <w:vAlign w:val="center"/>
          </w:tcPr>
          <w:p>
            <w:r>
              <w:rPr>
                <w:b w:val="0"/>
                <w:i w:val="0"/>
                <w:sz w:val="18"/>
              </w:rPr>
              <w:t>This Art. 11; O&amp;M/SLA 02.03</w:t>
            </w:r>
          </w:p>
        </w:tc>
      </w:tr>
      <w:tr>
        <w:tc>
          <w:tcPr>
            <w:tcW w:type="dxa" w:w="3168"/>
            <w:shd w:val="clear" w:color="auto" w:fill="F2F2F2"/>
            <w:vAlign w:val="center"/>
          </w:tcPr>
          <w:p>
            <w:r>
              <w:rPr>
                <w:b w:val="0"/>
                <w:i w:val="0"/>
                <w:sz w:val="18"/>
              </w:rPr>
              <w:t>Confirmed Breach of CPNI</w:t>
            </w:r>
          </w:p>
        </w:tc>
        <w:tc>
          <w:tcPr>
            <w:tcW w:type="dxa" w:w="2880"/>
            <w:shd w:val="clear" w:color="auto" w:fill="F2F2F2"/>
            <w:vAlign w:val="center"/>
          </w:tcPr>
          <w:p>
            <w:r>
              <w:rPr>
                <w:b w:val="0"/>
                <w:i w:val="0"/>
                <w:sz w:val="18"/>
              </w:rPr>
              <w:t>Law enforcement + subscribers + Lumbee Tribe</w:t>
            </w:r>
          </w:p>
        </w:tc>
        <w:tc>
          <w:tcPr>
            <w:tcW w:type="dxa" w:w="2448"/>
            <w:shd w:val="clear" w:color="auto" w:fill="F2F2F2"/>
            <w:vAlign w:val="center"/>
          </w:tcPr>
          <w:p>
            <w:pPr>
              <w:jc w:val="center"/>
            </w:pPr>
            <w:r>
              <w:rPr>
                <w:b w:val="0"/>
                <w:i w:val="0"/>
                <w:sz w:val="18"/>
              </w:rPr>
              <w:t>Per FCC rule timeline</w:t>
            </w:r>
          </w:p>
        </w:tc>
        <w:tc>
          <w:tcPr>
            <w:tcW w:type="dxa" w:w="2304"/>
            <w:shd w:val="clear" w:color="auto" w:fill="F2F2F2"/>
            <w:vAlign w:val="center"/>
          </w:tcPr>
          <w:p>
            <w:r>
              <w:rPr>
                <w:b w:val="0"/>
                <w:i w:val="0"/>
                <w:sz w:val="18"/>
              </w:rPr>
              <w:t>47 U.S.C. § 222 and 47 CFR §§ 64.2001–64.2011 (Customer Proprietary Network Information)</w:t>
            </w:r>
          </w:p>
        </w:tc>
      </w:tr>
      <w:tr>
        <w:tc>
          <w:tcPr>
            <w:tcW w:type="dxa" w:w="3168"/>
            <w:vAlign w:val="center"/>
          </w:tcPr>
          <w:p>
            <w:r>
              <w:rPr>
                <w:b w:val="0"/>
                <w:i w:val="0"/>
                <w:sz w:val="18"/>
              </w:rPr>
              <w:t>Breach of Personal Information</w:t>
            </w:r>
          </w:p>
        </w:tc>
        <w:tc>
          <w:tcPr>
            <w:tcW w:type="dxa" w:w="2880"/>
            <w:vAlign w:val="center"/>
          </w:tcPr>
          <w:p>
            <w:r>
              <w:rPr>
                <w:b w:val="0"/>
                <w:i w:val="0"/>
                <w:sz w:val="18"/>
              </w:rPr>
              <w:t>Lumbee Tribe + affected individuals + AG</w:t>
            </w:r>
          </w:p>
        </w:tc>
        <w:tc>
          <w:tcPr>
            <w:tcW w:type="dxa" w:w="2448"/>
            <w:vAlign w:val="center"/>
          </w:tcPr>
          <w:p>
            <w:pPr>
              <w:jc w:val="center"/>
            </w:pPr>
            <w:r>
              <w:rPr>
                <w:b w:val="0"/>
                <w:i w:val="0"/>
                <w:color w:val="804000"/>
                <w:sz w:val="18"/>
                <w:highlight w:val="yellow"/>
              </w:rPr>
              <w:t>[■ per state law / e.g., without unreasonable delay]</w:t>
            </w:r>
          </w:p>
        </w:tc>
        <w:tc>
          <w:tcPr>
            <w:tcW w:type="dxa" w:w="2304"/>
            <w:vAlign w:val="center"/>
          </w:tcPr>
          <w:p>
            <w:r>
              <w:rPr>
                <w:b w:val="0"/>
                <w:i w:val="0"/>
                <w:sz w:val="18"/>
              </w:rPr>
              <w:t>North Carolina breach-notification law</w:t>
            </w:r>
          </w:p>
        </w:tc>
      </w:tr>
      <w:tr>
        <w:tc>
          <w:tcPr>
            <w:tcW w:type="dxa" w:w="3168"/>
            <w:shd w:val="clear" w:color="auto" w:fill="F2F2F2"/>
            <w:vAlign w:val="center"/>
          </w:tcPr>
          <w:p>
            <w:r>
              <w:rPr>
                <w:b w:val="0"/>
                <w:i w:val="0"/>
                <w:sz w:val="18"/>
              </w:rPr>
              <w:t>Ransomware / availability event</w:t>
            </w:r>
          </w:p>
        </w:tc>
        <w:tc>
          <w:tcPr>
            <w:tcW w:type="dxa" w:w="2880"/>
            <w:shd w:val="clear" w:color="auto" w:fill="F2F2F2"/>
            <w:vAlign w:val="center"/>
          </w:tcPr>
          <w:p>
            <w:r>
              <w:rPr>
                <w:b w:val="0"/>
                <w:i w:val="0"/>
                <w:sz w:val="18"/>
              </w:rPr>
              <w:t>Lumbee Tribe + O&amp;M NOC</w:t>
            </w:r>
          </w:p>
        </w:tc>
        <w:tc>
          <w:tcPr>
            <w:tcW w:type="dxa" w:w="2448"/>
            <w:shd w:val="clear" w:color="auto" w:fill="F2F2F2"/>
            <w:vAlign w:val="center"/>
          </w:tcPr>
          <w:p>
            <w:pPr>
              <w:jc w:val="center"/>
            </w:pPr>
            <w:r>
              <w:rPr>
                <w:b w:val="0"/>
                <w:i w:val="0"/>
                <w:color w:val="804000"/>
                <w:sz w:val="18"/>
                <w:highlight w:val="yellow"/>
              </w:rPr>
              <w:t>[■ e.g., immediately / within 4 hrs]</w:t>
            </w:r>
          </w:p>
        </w:tc>
        <w:tc>
          <w:tcPr>
            <w:tcW w:type="dxa" w:w="2304"/>
            <w:shd w:val="clear" w:color="auto" w:fill="F2F2F2"/>
            <w:vAlign w:val="center"/>
          </w:tcPr>
          <w:p>
            <w:r>
              <w:rPr>
                <w:b w:val="0"/>
                <w:i w:val="0"/>
                <w:sz w:val="18"/>
              </w:rPr>
              <w:t>Art. 12; O&amp;M/SLA 02.03; CISA</w:t>
            </w:r>
          </w:p>
        </w:tc>
      </w:tr>
      <w:tr>
        <w:tc>
          <w:tcPr>
            <w:tcW w:type="dxa" w:w="3168"/>
            <w:vAlign w:val="center"/>
          </w:tcPr>
          <w:p>
            <w:r>
              <w:rPr>
                <w:b w:val="0"/>
                <w:i w:val="0"/>
                <w:sz w:val="18"/>
              </w:rPr>
              <w:t>Incident threatening the Award</w:t>
            </w:r>
          </w:p>
        </w:tc>
        <w:tc>
          <w:tcPr>
            <w:tcW w:type="dxa" w:w="2880"/>
            <w:vAlign w:val="center"/>
          </w:tcPr>
          <w:p>
            <w:r>
              <w:rPr>
                <w:b w:val="0"/>
                <w:i w:val="0"/>
                <w:sz w:val="18"/>
              </w:rPr>
              <w:t>Lumbee Tribe grants contact</w:t>
            </w:r>
          </w:p>
        </w:tc>
        <w:tc>
          <w:tcPr>
            <w:tcW w:type="dxa" w:w="2448"/>
            <w:vAlign w:val="center"/>
          </w:tcPr>
          <w:p>
            <w:pPr>
              <w:jc w:val="center"/>
            </w:pPr>
            <w:r>
              <w:rPr>
                <w:b w:val="0"/>
                <w:i w:val="0"/>
                <w:color w:val="804000"/>
                <w:sz w:val="18"/>
                <w:highlight w:val="yellow"/>
              </w:rPr>
              <w:t>[■ promptly; support 200.113 disclosure]</w:t>
            </w:r>
          </w:p>
        </w:tc>
        <w:tc>
          <w:tcPr>
            <w:tcW w:type="dxa" w:w="2304"/>
            <w:vAlign w:val="center"/>
          </w:tcPr>
          <w:p>
            <w:r>
              <w:rPr>
                <w:b w:val="0"/>
                <w:i w:val="0"/>
                <w:sz w:val="18"/>
              </w:rPr>
              <w:t>2 CFR 200.113 (Mandatory disclosures)</w:t>
            </w:r>
          </w:p>
        </w:tc>
      </w:tr>
    </w:tbl>
    <w:p>
      <w:pPr>
        <w:pStyle w:val="Heading2"/>
        <w:spacing w:before="160" w:after="60"/>
      </w:pPr>
      <w:r>
        <w:rPr>
          <w:rFonts w:ascii="Calibri" w:hAnsi="Calibri"/>
          <w:b/>
          <w:color w:val="000000"/>
          <w:sz w:val="22"/>
        </w:rPr>
        <w:t>11.3  Cooperation and Content of Notice</w:t>
      </w:r>
    </w:p>
    <w:p>
      <w:r>
        <w:rPr>
          <w:b w:val="0"/>
          <w:i w:val="0"/>
        </w:rPr>
        <w:t>Each notice shall describe, to the extent known, the nature of the incident, the categories and volume of data involved, the subscribers or members affected in the Service Territory, containment and remediation steps, and points of contact. RIVR Tech shall preserve evidence, cooperate with the Lumbee Tribe’s reasonable requests, and support any disclosure the Lumbee Tribe must make under 2 CFR 200.113 (Mandatory disclosures).</w:t>
      </w:r>
    </w:p>
    <w:p>
      <w:pPr>
        <w:pStyle w:val="Heading2"/>
        <w:spacing w:before="160" w:after="60"/>
      </w:pPr>
      <w:r>
        <w:rPr>
          <w:rFonts w:ascii="Calibri" w:hAnsi="Calibri"/>
          <w:b/>
          <w:color w:val="000000"/>
          <w:sz w:val="22"/>
        </w:rPr>
        <w:t>11.4  Costs and Regulatory Notices</w:t>
      </w:r>
    </w:p>
    <w:p>
      <w:r>
        <w:rPr>
          <w:b w:val="0"/>
          <w:i w:val="0"/>
        </w:rPr>
        <w:t>Where a Breach is caused by RIVR Tech’s act, omission, or failure to meet its obligations, RIVR Tech shall bear the reasonable costs of investigation, required notifications, credit monitoring where appropriate, and regulatory response, subject to the limitation-of-liability provisions of the Master Agreement.</w:t>
      </w:r>
    </w:p>
    <w:p>
      <w:pPr>
        <w:ind w:left="504"/>
      </w:pPr>
      <w:r>
        <w:rPr>
          <w:b/>
          <w:color w:val="0000C0"/>
        </w:rPr>
        <w:t xml:space="preserve">[ATTORNEY REVIEW REQUIRED]  </w:t>
      </w:r>
      <w:r>
        <w:rPr>
          <w:i/>
          <w:color w:val="595959"/>
        </w:rPr>
        <w:t>Confirm all notification timelines against the FCC CPNI/customer-data breach rules as then in effect and the North Carolina Identity Theft Protection Act (and any Tribal breach law). Do not finalize the hour counts without communications-privacy counsel.</w:t>
      </w:r>
    </w:p>
    <w:p>
      <w:pPr>
        <w:pStyle w:val="Heading1"/>
        <w:spacing w:before="240" w:after="120"/>
      </w:pPr>
      <w:r>
        <w:rPr>
          <w:rFonts w:ascii="Calibri" w:hAnsi="Calibri"/>
          <w:b/>
          <w:color w:val="1F3864"/>
          <w:sz w:val="26"/>
        </w:rPr>
        <w:t>ARTICLE 12.  RANSOMWARE RESPONSE</w:t>
      </w:r>
    </w:p>
    <w:p>
      <w:pPr>
        <w:pStyle w:val="Heading2"/>
        <w:spacing w:before="160" w:after="60"/>
      </w:pPr>
      <w:r>
        <w:rPr>
          <w:rFonts w:ascii="Calibri" w:hAnsi="Calibri"/>
          <w:b/>
          <w:color w:val="000000"/>
          <w:sz w:val="22"/>
        </w:rPr>
        <w:t>12.1  Preparedness</w:t>
      </w:r>
    </w:p>
    <w:p>
      <w:r>
        <w:rPr>
          <w:b w:val="0"/>
          <w:i w:val="0"/>
        </w:rPr>
        <w:t>RIVR Tech shall maintain ransomware-specific safeguards, including segmented and immutable/offline backups, tested restoration procedures, email and endpoint protections, and privileged-access controls.</w:t>
      </w:r>
    </w:p>
    <w:p>
      <w:pPr>
        <w:pStyle w:val="Heading2"/>
        <w:spacing w:before="160" w:after="60"/>
      </w:pPr>
      <w:r>
        <w:rPr>
          <w:rFonts w:ascii="Calibri" w:hAnsi="Calibri"/>
          <w:b/>
          <w:color w:val="000000"/>
          <w:sz w:val="22"/>
        </w:rPr>
        <w:t>12.2  Response</w:t>
      </w:r>
    </w:p>
    <w:p>
      <w:r>
        <w:rPr>
          <w:b w:val="0"/>
          <w:i w:val="0"/>
        </w:rPr>
        <w:t>On a ransomware event, RIVR Tech shall isolate affected systems, activate the incident-response and business-continuity plans, notify the Lumbee Tribe under Article 11, and coordinate with law enforcement and CISA as appropriate.</w:t>
      </w:r>
    </w:p>
    <w:p>
      <w:pPr>
        <w:pStyle w:val="Heading2"/>
        <w:spacing w:before="160" w:after="60"/>
      </w:pPr>
      <w:r>
        <w:rPr>
          <w:rFonts w:ascii="Calibri" w:hAnsi="Calibri"/>
          <w:b/>
          <w:color w:val="000000"/>
          <w:sz w:val="22"/>
        </w:rPr>
        <w:t>12.3  Ransom Payments</w:t>
      </w:r>
    </w:p>
    <w:p>
      <w:r>
        <w:rPr>
          <w:b w:val="0"/>
          <w:i w:val="0"/>
        </w:rPr>
        <w:t xml:space="preserve">RIVR Tech shall not make, facilitate, or cause any ransom or extortion payment relating to the Network or Customer Data without the Lumbee Tribe’s prior written consent, and shall comply with OFAC and other sanctions law. </w:t>
      </w:r>
      <w:r>
        <w:rPr>
          <w:b w:val="0"/>
          <w:i w:val="0"/>
          <w:color w:val="804000"/>
          <w:highlight w:val="yellow"/>
        </w:rPr>
        <w:t>[■ confirm ransom-payment decision protocol and OFAC screening]</w:t>
      </w:r>
      <w:r>
        <w:rPr>
          <w:b w:val="0"/>
          <w:i w:val="0"/>
        </w:rPr>
        <w:t>.</w:t>
      </w:r>
    </w:p>
    <w:p>
      <w:pPr>
        <w:pStyle w:val="Heading1"/>
        <w:spacing w:before="240" w:after="120"/>
      </w:pPr>
      <w:r>
        <w:rPr>
          <w:rFonts w:ascii="Calibri" w:hAnsi="Calibri"/>
          <w:b/>
          <w:color w:val="1F3864"/>
          <w:sz w:val="26"/>
        </w:rPr>
        <w:t>ARTICLE 13.  THIRD-PARTY VENDORS AND SUPPLY CHAIN</w:t>
      </w:r>
    </w:p>
    <w:p>
      <w:pPr>
        <w:pStyle w:val="Heading2"/>
        <w:spacing w:before="160" w:after="60"/>
      </w:pPr>
      <w:r>
        <w:rPr>
          <w:rFonts w:ascii="Calibri" w:hAnsi="Calibri"/>
          <w:b/>
          <w:color w:val="000000"/>
          <w:sz w:val="22"/>
        </w:rPr>
        <w:t>13.1  Flow-Down</w:t>
      </w:r>
    </w:p>
    <w:p>
      <w:r>
        <w:rPr>
          <w:b w:val="0"/>
          <w:i w:val="0"/>
        </w:rPr>
        <w:t>RIVR Tech shall bind each Subprocessor by written agreement to data-protection, security, confidentiality, incident-notification, and return/destruction obligations no less protective than this Addendum, including the Covered-Equipment prohibition (Section 7.2) and applicable grant flow-downs, and remains responsible for its Subprocessors’ acts and omissions.</w:t>
      </w:r>
    </w:p>
    <w:p>
      <w:pPr>
        <w:pStyle w:val="Heading2"/>
        <w:spacing w:before="160" w:after="60"/>
      </w:pPr>
      <w:r>
        <w:rPr>
          <w:rFonts w:ascii="Calibri" w:hAnsi="Calibri"/>
          <w:b/>
          <w:color w:val="000000"/>
          <w:sz w:val="22"/>
        </w:rPr>
        <w:t>13.2  Subprocessor Transparency</w:t>
      </w:r>
    </w:p>
    <w:p>
      <w:r>
        <w:rPr>
          <w:b w:val="0"/>
          <w:i w:val="0"/>
        </w:rPr>
        <w:t>RIVR Tech shall maintain a current list of Subprocessors that Process Tribal Data and provide it to the Lumbee Tribe on request. The Lumbee Tribe may object to a Subprocessor on reasonable data-protection or sovereignty grounds; the Parties shall work in good faith to address the objection.</w:t>
      </w:r>
    </w:p>
    <w:p>
      <w:pPr>
        <w:pStyle w:val="Heading2"/>
        <w:spacing w:before="160" w:after="60"/>
      </w:pPr>
      <w:r>
        <w:rPr>
          <w:rFonts w:ascii="Calibri" w:hAnsi="Calibri"/>
          <w:b/>
          <w:color w:val="000000"/>
          <w:sz w:val="22"/>
        </w:rPr>
        <w:t>13.3  Software Bill of Materials (SBOM)</w:t>
      </w:r>
    </w:p>
    <w:p>
      <w:r>
        <w:rPr>
          <w:b w:val="0"/>
          <w:i w:val="0"/>
        </w:rPr>
        <w:t xml:space="preserve">For material software and firmware components used in systems that Process Customer Data or control the Tribal Assets, RIVR Tech shall obtain or maintain a Software Bill of Materials (SBOM) and use it to support vulnerability management and Section 889 screening. </w:t>
      </w:r>
      <w:r>
        <w:rPr>
          <w:b w:val="0"/>
          <w:i w:val="0"/>
          <w:color w:val="804000"/>
          <w:highlight w:val="yellow"/>
        </w:rPr>
        <w:t>[■ confirm SBOM scope and format, e.g., SPDX / CycloneDX]</w:t>
      </w:r>
      <w:r>
        <w:rPr>
          <w:b w:val="0"/>
          <w:i w:val="0"/>
        </w:rPr>
        <w:t>.</w:t>
      </w:r>
    </w:p>
    <w:p>
      <w:pPr>
        <w:pStyle w:val="Heading1"/>
        <w:spacing w:before="240" w:after="120"/>
      </w:pPr>
      <w:r>
        <w:rPr>
          <w:rFonts w:ascii="Calibri" w:hAnsi="Calibri"/>
          <w:b/>
          <w:color w:val="1F3864"/>
          <w:sz w:val="26"/>
        </w:rPr>
        <w:t>ARTICLE 14.  BUSINESS CONTINUITY AND DISASTER RECOVERY</w:t>
      </w:r>
    </w:p>
    <w:p>
      <w:pPr>
        <w:pStyle w:val="Heading2"/>
        <w:spacing w:before="160" w:after="60"/>
      </w:pPr>
      <w:r>
        <w:rPr>
          <w:rFonts w:ascii="Calibri" w:hAnsi="Calibri"/>
          <w:b/>
          <w:color w:val="000000"/>
          <w:sz w:val="22"/>
        </w:rPr>
        <w:t>14.1  Plans</w:t>
      </w:r>
    </w:p>
    <w:p>
      <w:r>
        <w:rPr>
          <w:b w:val="0"/>
          <w:i w:val="0"/>
        </w:rPr>
        <w:t>RIVR Tech shall maintain and test business-continuity and disaster-recovery plans for systems that Process Customer Data and operate the Network, coordinated with the resilience, redundancy, and restoration commitments in the O&amp;M/SLA (Document 02.03).</w:t>
      </w:r>
    </w:p>
    <w:p>
      <w:pPr>
        <w:pStyle w:val="Heading2"/>
        <w:spacing w:before="160" w:after="60"/>
      </w:pPr>
      <w:r>
        <w:rPr>
          <w:rFonts w:ascii="Calibri" w:hAnsi="Calibri"/>
          <w:b/>
          <w:color w:val="000000"/>
          <w:sz w:val="22"/>
        </w:rPr>
        <w:t>14.2  Objectives</w:t>
      </w:r>
    </w:p>
    <w:p>
      <w:r>
        <w:rPr>
          <w:b w:val="0"/>
          <w:i w:val="0"/>
        </w:rPr>
        <w:t xml:space="preserve">Recovery-time and recovery-point objectives (RTO/RPO) for critical data and services shall be no less protective than </w:t>
      </w:r>
      <w:r>
        <w:rPr>
          <w:b w:val="0"/>
          <w:i w:val="0"/>
          <w:color w:val="804000"/>
          <w:highlight w:val="yellow"/>
        </w:rPr>
        <w:t>[■ RTO / RPO targets — align with O&amp;M/SLA 02.03]</w:t>
      </w:r>
      <w:r>
        <w:rPr>
          <w:b w:val="0"/>
          <w:i w:val="0"/>
        </w:rPr>
        <w:t>.</w:t>
      </w:r>
    </w:p>
    <w:p>
      <w:pPr>
        <w:pStyle w:val="Heading2"/>
        <w:spacing w:before="160" w:after="60"/>
      </w:pPr>
      <w:r>
        <w:rPr>
          <w:rFonts w:ascii="Calibri" w:hAnsi="Calibri"/>
          <w:b/>
          <w:color w:val="000000"/>
          <w:sz w:val="22"/>
        </w:rPr>
        <w:t>14.3  Backups</w:t>
      </w:r>
    </w:p>
    <w:p>
      <w:r>
        <w:rPr>
          <w:b w:val="0"/>
          <w:i w:val="0"/>
        </w:rPr>
        <w:t>Backups of Customer Data shall be encrypted, access-controlled, geographically appropriate (subject to Article 16), and tested for restorability at least annually.</w:t>
      </w:r>
    </w:p>
    <w:p>
      <w:pPr>
        <w:pStyle w:val="Heading1"/>
        <w:spacing w:before="240" w:after="120"/>
      </w:pPr>
      <w:r>
        <w:rPr>
          <w:rFonts w:ascii="Calibri" w:hAnsi="Calibri"/>
          <w:b/>
          <w:color w:val="1F3864"/>
          <w:sz w:val="26"/>
        </w:rPr>
        <w:t>ARTICLE 15.  LAW-ENFORCEMENT AND GOVERNMENT REQUESTS</w:t>
      </w:r>
    </w:p>
    <w:p>
      <w:pPr>
        <w:pStyle w:val="Heading2"/>
        <w:spacing w:before="160" w:after="60"/>
      </w:pPr>
      <w:r>
        <w:rPr>
          <w:rFonts w:ascii="Calibri" w:hAnsi="Calibri"/>
          <w:b/>
          <w:color w:val="000000"/>
          <w:sz w:val="22"/>
        </w:rPr>
        <w:t>15.1  Validity and Minimization</w:t>
      </w:r>
    </w:p>
    <w:p>
      <w:r>
        <w:rPr>
          <w:b w:val="0"/>
          <w:i w:val="0"/>
        </w:rPr>
        <w:t>RIVR Tech shall disclose Customer Data in response to a subpoena, warrant, court order, or other legal process only to the extent legally required, shall review each request for validity and scope, and shall disclose the minimum data necessary.</w:t>
      </w:r>
    </w:p>
    <w:p>
      <w:pPr>
        <w:pStyle w:val="Heading2"/>
        <w:spacing w:before="160" w:after="60"/>
      </w:pPr>
      <w:r>
        <w:rPr>
          <w:rFonts w:ascii="Calibri" w:hAnsi="Calibri"/>
          <w:b/>
          <w:color w:val="000000"/>
          <w:sz w:val="22"/>
        </w:rPr>
        <w:t>15.2  Notice to the Lumbee Tribe</w:t>
      </w:r>
    </w:p>
    <w:p>
      <w:r>
        <w:rPr>
          <w:b w:val="0"/>
          <w:i w:val="0"/>
        </w:rPr>
        <w:t>Where not legally prohibited, RIVR Tech shall notify the Lumbee Tribe before disclosing Tribal Data in response to legal process, so the Lumbee Tribe may seek to limit or quash the request, and shall reasonably cooperate with the Lumbee Tribe’s lawful efforts to protect the data.</w:t>
      </w:r>
    </w:p>
    <w:p>
      <w:pPr>
        <w:pStyle w:val="Heading2"/>
        <w:spacing w:before="160" w:after="60"/>
      </w:pPr>
      <w:r>
        <w:rPr>
          <w:rFonts w:ascii="Calibri" w:hAnsi="Calibri"/>
          <w:b/>
          <w:color w:val="000000"/>
          <w:sz w:val="22"/>
        </w:rPr>
        <w:t>15.3  Records</w:t>
      </w:r>
    </w:p>
    <w:p>
      <w:r>
        <w:rPr>
          <w:b w:val="0"/>
          <w:i w:val="0"/>
        </w:rPr>
        <w:t>RIVR Tech shall keep a record of law-enforcement requests affecting Tribal Data and make summary information available to the Lumbee Tribe on request, subject to legal limits.</w:t>
      </w:r>
    </w:p>
    <w:p>
      <w:pPr>
        <w:ind w:left="504"/>
      </w:pPr>
      <w:r>
        <w:rPr>
          <w:b/>
          <w:color w:val="0000C0"/>
        </w:rPr>
        <w:t xml:space="preserve">[ATTORNEY REVIEW REQUIRED]  </w:t>
      </w:r>
      <w:r>
        <w:rPr>
          <w:i/>
          <w:color w:val="595959"/>
        </w:rPr>
        <w:t>The interaction of Tribal sovereignty, ECPA/Stored Communications Act, CALEA, and any protective-order or gag provisions is fact-specific. Counsel must confirm the notice-to-Lumbee Tribe mechanics and any limits on pre-disclosure notice.</w:t>
      </w:r>
    </w:p>
    <w:p>
      <w:pPr>
        <w:pStyle w:val="Heading1"/>
        <w:spacing w:before="240" w:after="120"/>
      </w:pPr>
      <w:r>
        <w:rPr>
          <w:rFonts w:ascii="Calibri" w:hAnsi="Calibri"/>
          <w:b/>
          <w:color w:val="1F3864"/>
          <w:sz w:val="26"/>
        </w:rPr>
        <w:t>ARTICLE 16.  TRIBAL DATA SOVEREIGNTY</w:t>
      </w:r>
    </w:p>
    <w:p>
      <w:pPr>
        <w:pStyle w:val="Heading2"/>
        <w:spacing w:before="160" w:after="60"/>
      </w:pPr>
      <w:r>
        <w:rPr>
          <w:rFonts w:ascii="Calibri" w:hAnsi="Calibri"/>
          <w:b/>
          <w:color w:val="000000"/>
          <w:sz w:val="22"/>
        </w:rPr>
        <w:t>16.1  Recognition of Sovereign Interest</w:t>
      </w:r>
    </w:p>
    <w:p>
      <w:r>
        <w:rPr>
          <w:b w:val="0"/>
          <w:i w:val="0"/>
        </w:rPr>
        <w:t>The Parties recognize the Lumbee Tribe’s inherent sovereign interest in, and governance authority over, Tribal Data, including data of enrolled members and of subscribers within the Service Territory. Tribal Data shall be Processed in a manner consistent with the Lumbee Tribe’s data-governance principles and applicable Tribal law, consistent with the CARE principles for Indigenous data governance and the concept of Indigenous data sovereignty.</w:t>
      </w:r>
    </w:p>
    <w:p>
      <w:pPr>
        <w:pStyle w:val="Heading2"/>
        <w:spacing w:before="160" w:after="60"/>
      </w:pPr>
      <w:r>
        <w:rPr>
          <w:rFonts w:ascii="Calibri" w:hAnsi="Calibri"/>
          <w:b/>
          <w:color w:val="000000"/>
          <w:sz w:val="22"/>
        </w:rPr>
        <w:t>16.2  Data Residency and Access — Options</w:t>
      </w:r>
    </w:p>
    <w:p>
      <w:r>
        <w:rPr>
          <w:b w:val="0"/>
          <w:i w:val="0"/>
        </w:rPr>
        <w:t>The Parties will select a data-residency and access model:</w:t>
      </w:r>
    </w:p>
    <w:p>
      <w:pPr>
        <w:ind w:left="504"/>
      </w:pPr>
      <w:r>
        <w:rPr>
          <w:b/>
        </w:rPr>
        <w:t xml:space="preserve">(a)  </w:t>
      </w:r>
      <w:r>
        <w:rPr>
          <w:b w:val="0"/>
          <w:i w:val="0"/>
        </w:rPr>
        <w:t>Option 1 — U.S.-only Processing. Tribal Data is Processed and stored only within the United States, with no offshore access.</w:t>
      </w:r>
    </w:p>
    <w:p>
      <w:pPr>
        <w:ind w:left="504"/>
      </w:pPr>
      <w:r>
        <w:rPr>
          <w:b/>
        </w:rPr>
        <w:t xml:space="preserve">(b)  </w:t>
      </w:r>
      <w:r>
        <w:rPr>
          <w:b w:val="0"/>
          <w:i w:val="0"/>
        </w:rPr>
        <w:t>Option 2 — U.S.-only plus enhanced access controls. Option 1 plus Lumbee Tribe-visible logging of administrative access to Tribal Data.</w:t>
      </w:r>
    </w:p>
    <w:p>
      <w:pPr>
        <w:ind w:left="504"/>
      </w:pPr>
      <w:r>
        <w:rPr>
          <w:b/>
        </w:rPr>
        <w:t xml:space="preserve">(c)  </w:t>
      </w:r>
      <w:r>
        <w:rPr>
          <w:b w:val="0"/>
          <w:i w:val="0"/>
        </w:rPr>
        <w:t>Option 3 (RECOMMENDED baseline) — In-territory/Tribally-designated hosting where feasible. Tribal Data of record is maintained in a repository located in the United States and, where technically and commercially feasible, in a location or under a cloud configuration designated or approved by the Lumbee Tribe, with the Lumbee Tribe holding independent access to a copy of its Tribal Data.</w:t>
      </w:r>
    </w:p>
    <w:p>
      <w:pPr>
        <w:ind w:left="504"/>
      </w:pPr>
      <w:r>
        <w:rPr>
          <w:b/>
          <w:color w:val="0000C0"/>
        </w:rPr>
        <w:t xml:space="preserve">[ATTORNEY REVIEW REQUIRED]  </w:t>
      </w:r>
      <w:r>
        <w:rPr>
          <w:i/>
          <w:color w:val="595959"/>
        </w:rPr>
        <w:t>Tribal data-residency and access rights implicate sovereignty, contract, and technical-feasibility questions. Select the model and confirm enforceability and cost with counsel and the Lumbee Tribe’s technical team: [■ selected data-residency / access option and location].</w:t>
      </w:r>
    </w:p>
    <w:p>
      <w:pPr>
        <w:pStyle w:val="Heading2"/>
        <w:spacing w:before="160" w:after="60"/>
      </w:pPr>
      <w:r>
        <w:rPr>
          <w:rFonts w:ascii="Calibri" w:hAnsi="Calibri"/>
          <w:b/>
          <w:color w:val="000000"/>
          <w:sz w:val="22"/>
        </w:rPr>
        <w:t>16.3  Tribal Governance and Audit</w:t>
      </w:r>
    </w:p>
    <w:p>
      <w:r>
        <w:rPr>
          <w:b w:val="0"/>
          <w:i w:val="0"/>
        </w:rPr>
        <w:t>The Lumbee Tribe may adopt data-governance, privacy, or research-review policies applicable to Tribal Data, and may audit RIVR Tech’s handling of Tribal Data on reasonable notice, subject to confidentiality.</w:t>
      </w:r>
    </w:p>
    <w:p>
      <w:pPr>
        <w:pStyle w:val="Heading2"/>
        <w:spacing w:before="160" w:after="60"/>
      </w:pPr>
      <w:r>
        <w:rPr>
          <w:rFonts w:ascii="Calibri" w:hAnsi="Calibri"/>
          <w:b/>
          <w:color w:val="000000"/>
          <w:sz w:val="22"/>
        </w:rPr>
        <w:t>16.4  No Waiver</w:t>
      </w:r>
    </w:p>
    <w:p>
      <w:r>
        <w:rPr>
          <w:b w:val="0"/>
          <w:i w:val="0"/>
        </w:rPr>
        <w:t>Nothing in this Addendum constitutes a waiver of the Lumbee Tribe’s sovereign immunity or sovereign authority. Any waiver must be express, written, and limited as provided in the Master Agreement.</w:t>
      </w:r>
    </w:p>
    <w:p>
      <w:pPr>
        <w:pStyle w:val="Heading1"/>
        <w:spacing w:before="240" w:after="120"/>
      </w:pPr>
      <w:r>
        <w:rPr>
          <w:rFonts w:ascii="Calibri" w:hAnsi="Calibri"/>
          <w:b/>
          <w:color w:val="1F3864"/>
          <w:sz w:val="26"/>
        </w:rPr>
        <w:t>ARTICLE 17.  RETURN AND DESTRUCTION OF DATA</w:t>
      </w:r>
    </w:p>
    <w:p>
      <w:pPr>
        <w:pStyle w:val="Heading2"/>
        <w:spacing w:before="160" w:after="60"/>
      </w:pPr>
      <w:r>
        <w:rPr>
          <w:rFonts w:ascii="Calibri" w:hAnsi="Calibri"/>
          <w:b/>
          <w:color w:val="000000"/>
          <w:sz w:val="22"/>
        </w:rPr>
        <w:t>17.1  On Expiration or Termination</w:t>
      </w:r>
    </w:p>
    <w:p>
      <w:r>
        <w:rPr>
          <w:b w:val="0"/>
          <w:i w:val="0"/>
        </w:rPr>
        <w:t>On expiration or termination of the Master Agreement, or on the Lumbee Tribe’s request during a transition under Document 02.07, RIVR Tech shall, at the Lumbee Tribe’s election, return to the Lumbee Tribe or a successor operator, and/or securely destroy, all Customer Data and Tribal Data in RIVR Tech’s possession or control, except copies required to be retained by law or the Award.</w:t>
      </w:r>
    </w:p>
    <w:p>
      <w:pPr>
        <w:pStyle w:val="Heading2"/>
        <w:spacing w:before="160" w:after="60"/>
      </w:pPr>
      <w:r>
        <w:rPr>
          <w:rFonts w:ascii="Calibri" w:hAnsi="Calibri"/>
          <w:b/>
          <w:color w:val="000000"/>
          <w:sz w:val="22"/>
        </w:rPr>
        <w:t>17.2  Secure Destruction</w:t>
      </w:r>
    </w:p>
    <w:p>
      <w:r>
        <w:rPr>
          <w:b w:val="0"/>
          <w:i w:val="0"/>
        </w:rPr>
        <w:t>Destruction shall follow recognized media-sanitization standards (e.g., NIST SP 800-88) such that data cannot be reconstructed, and RIVR Tech shall certify destruction in writing.</w:t>
      </w:r>
    </w:p>
    <w:p>
      <w:pPr>
        <w:pStyle w:val="Heading2"/>
        <w:spacing w:before="160" w:after="60"/>
      </w:pPr>
      <w:r>
        <w:rPr>
          <w:rFonts w:ascii="Calibri" w:hAnsi="Calibri"/>
          <w:b/>
          <w:color w:val="000000"/>
          <w:sz w:val="22"/>
        </w:rPr>
        <w:t>17.3  Retained Copies</w:t>
      </w:r>
    </w:p>
    <w:p>
      <w:r>
        <w:rPr>
          <w:b w:val="0"/>
          <w:i w:val="0"/>
        </w:rPr>
        <w:t>Any lawfully retained copies remain subject to the confidentiality, security, and use-restriction obligations of this Addendum for as long as RIVR Tech retains them, and grant-substantiation records remain subject to 2 CFR 200.334–200.337 (Record retention and access; three-year retention).</w:t>
      </w:r>
    </w:p>
    <w:p>
      <w:pPr>
        <w:pStyle w:val="Heading1"/>
        <w:spacing w:before="240" w:after="120"/>
      </w:pPr>
      <w:r>
        <w:rPr>
          <w:rFonts w:ascii="Calibri" w:hAnsi="Calibri"/>
          <w:b/>
          <w:color w:val="1F3864"/>
          <w:sz w:val="26"/>
        </w:rPr>
        <w:t>ARTICLE 18.  TRANSITION TO A SUCCESSOR OPERATOR — DATA PORTABILITY</w:t>
      </w:r>
    </w:p>
    <w:p>
      <w:pPr>
        <w:pStyle w:val="Heading2"/>
        <w:spacing w:before="160" w:after="60"/>
      </w:pPr>
      <w:r>
        <w:rPr>
          <w:rFonts w:ascii="Calibri" w:hAnsi="Calibri"/>
          <w:b/>
          <w:color w:val="000000"/>
          <w:sz w:val="22"/>
        </w:rPr>
        <w:t>18.1  Portability</w:t>
      </w:r>
    </w:p>
    <w:p>
      <w:r>
        <w:rPr>
          <w:b w:val="0"/>
          <w:i w:val="0"/>
        </w:rPr>
        <w:t>To ensure continuity of service and to protect the Federal Interest, RIVR Tech shall, on transition, deliver Customer Data, Network Data necessary to operate the Tribal Assets, and associated records to the Lumbee Tribe or its designated successor operator in a complete, usable, and non-proprietary or documented format, together with data dictionaries and reasonable knowledge-transfer support.</w:t>
      </w:r>
    </w:p>
    <w:p>
      <w:pPr>
        <w:pStyle w:val="Heading2"/>
        <w:spacing w:before="160" w:after="60"/>
      </w:pPr>
      <w:r>
        <w:rPr>
          <w:rFonts w:ascii="Calibri" w:hAnsi="Calibri"/>
          <w:b/>
          <w:color w:val="000000"/>
          <w:sz w:val="22"/>
        </w:rPr>
        <w:t>18.2  Coordination with the Transition Plan</w:t>
      </w:r>
    </w:p>
    <w:p>
      <w:r>
        <w:rPr>
          <w:b w:val="0"/>
          <w:i w:val="0"/>
        </w:rPr>
        <w:t>Data portability under this Article is coordinated with, and subject to the mechanics of, the Transition, Step-In and Successor Operator Plan (Document 02.07), including the transition-assistance period of 12 months and the protection of the RIVR Tech Existing Network.</w:t>
      </w:r>
    </w:p>
    <w:p>
      <w:pPr>
        <w:pStyle w:val="Heading2"/>
        <w:spacing w:before="160" w:after="60"/>
      </w:pPr>
      <w:r>
        <w:rPr>
          <w:rFonts w:ascii="Calibri" w:hAnsi="Calibri"/>
          <w:b/>
          <w:color w:val="000000"/>
          <w:sz w:val="22"/>
        </w:rPr>
        <w:t>18.3  Continuity of Subscriber Relationships</w:t>
      </w:r>
    </w:p>
    <w:p>
      <w:r>
        <w:rPr>
          <w:b w:val="0"/>
          <w:i w:val="0"/>
        </w:rPr>
        <w:t>The Parties shall handle Customer Data during transition so as to preserve subscriber service, billing accuracy, and number portability, and to comply with the CPNI rules governing carrier changes.</w:t>
      </w:r>
    </w:p>
    <w:p>
      <w:pPr>
        <w:ind w:left="504"/>
      </w:pPr>
      <w:r>
        <w:rPr>
          <w:b/>
          <w:color w:val="7F007F"/>
        </w:rPr>
        <w:t xml:space="preserve">[GRANT COMPLIANCE REVIEW REQUIRED]  </w:t>
      </w:r>
      <w:r>
        <w:rPr>
          <w:i/>
          <w:color w:val="595959"/>
        </w:rPr>
        <w:t>Because the Tribal Assets and related intangible property carry a Federal Interest, data and records enabling continued operation must transfer to the Lumbee Tribe or a successor. Confirm treatment of intangible property under 2 CFR 200.315 (Intangible property) and disposition rules.</w:t>
      </w:r>
    </w:p>
    <w:p>
      <w:pPr>
        <w:pStyle w:val="Heading1"/>
        <w:spacing w:before="240" w:after="120"/>
      </w:pPr>
      <w:r>
        <w:rPr>
          <w:rFonts w:ascii="Calibri" w:hAnsi="Calibri"/>
          <w:b/>
          <w:color w:val="1F3864"/>
          <w:sz w:val="26"/>
        </w:rPr>
        <w:t>ARTICLE 19.  AUDIT, COMPLIANCE AND RECORDS</w:t>
      </w:r>
    </w:p>
    <w:p>
      <w:pPr>
        <w:pStyle w:val="Heading2"/>
        <w:spacing w:before="160" w:after="60"/>
      </w:pPr>
      <w:r>
        <w:rPr>
          <w:rFonts w:ascii="Calibri" w:hAnsi="Calibri"/>
          <w:b/>
          <w:color w:val="000000"/>
          <w:sz w:val="22"/>
        </w:rPr>
        <w:t>19.1  Federal Audit and Access</w:t>
      </w:r>
    </w:p>
    <w:p>
      <w:r>
        <w:rPr>
          <w:b w:val="0"/>
          <w:i w:val="0"/>
        </w:rPr>
        <w:t>RIVR Tech shall provide the Lumbee Tribe, NTIA, the Department of Commerce, the Inspector General, and the Comptroller General (and their authorized representatives) timely access to records and data relating to the Award to the extent required by 2 CFR 200.334–200.337 (Record retention and access; three-year retention), on the notice window used across the package (10 business days, or immediately where required by the auditing authority).</w:t>
      </w:r>
    </w:p>
    <w:p>
      <w:pPr>
        <w:pStyle w:val="Heading2"/>
        <w:spacing w:before="160" w:after="60"/>
      </w:pPr>
      <w:r>
        <w:rPr>
          <w:rFonts w:ascii="Calibri" w:hAnsi="Calibri"/>
          <w:b/>
          <w:color w:val="000000"/>
          <w:sz w:val="22"/>
        </w:rPr>
        <w:t>19.2  USAC / Universal Service</w:t>
      </w:r>
    </w:p>
    <w:p>
      <w:r>
        <w:rPr>
          <w:b w:val="0"/>
          <w:i w:val="0"/>
        </w:rPr>
        <w:t>Where services over the Network participate in universal-service programs, RIVR Tech shall maintain records and comply with 47 CFR Part 54 (USAC/FCC universal service, Lifeline, and ETC requirements), including any Lifeline eligibility and recertification data-handling requirements.</w:t>
      </w:r>
    </w:p>
    <w:p>
      <w:pPr>
        <w:pStyle w:val="Heading2"/>
        <w:spacing w:before="160" w:after="60"/>
      </w:pPr>
      <w:r>
        <w:rPr>
          <w:rFonts w:ascii="Calibri" w:hAnsi="Calibri"/>
          <w:b/>
          <w:color w:val="000000"/>
          <w:sz w:val="22"/>
        </w:rPr>
        <w:t>19.3  Compliance Reporting</w:t>
      </w:r>
    </w:p>
    <w:p>
      <w:r>
        <w:rPr>
          <w:b w:val="0"/>
          <w:i w:val="0"/>
        </w:rPr>
        <w:t xml:space="preserve">RIVR Tech shall provide the Lumbee Tribe periodic privacy and security compliance reporting at </w:t>
      </w:r>
      <w:r>
        <w:rPr>
          <w:b w:val="0"/>
          <w:i w:val="0"/>
          <w:color w:val="804000"/>
          <w:highlight w:val="yellow"/>
        </w:rPr>
        <w:t>[■ cadence, e.g., quarterly]</w:t>
      </w:r>
      <w:r>
        <w:rPr>
          <w:b w:val="0"/>
          <w:i w:val="0"/>
        </w:rPr>
        <w:t>, and promptly report any matter that could constitute a mandatory disclosure under 2 CFR 200.113 (Mandatory disclosures).</w:t>
      </w:r>
    </w:p>
    <w:p>
      <w:pPr>
        <w:pStyle w:val="Heading1"/>
        <w:spacing w:before="240" w:after="120"/>
      </w:pPr>
      <w:r>
        <w:rPr>
          <w:rFonts w:ascii="Calibri" w:hAnsi="Calibri"/>
          <w:b/>
          <w:color w:val="1F3864"/>
          <w:sz w:val="26"/>
        </w:rPr>
        <w:t>ARTICLE 20.  GENERAL PROVISIONS</w:t>
      </w:r>
    </w:p>
    <w:p>
      <w:pPr>
        <w:pStyle w:val="Heading2"/>
        <w:spacing w:before="160" w:after="60"/>
      </w:pPr>
      <w:r>
        <w:rPr>
          <w:rFonts w:ascii="Calibri" w:hAnsi="Calibri"/>
          <w:b/>
          <w:color w:val="000000"/>
          <w:sz w:val="22"/>
        </w:rPr>
        <w:t>20.1  Governing Law</w:t>
      </w:r>
    </w:p>
    <w:p>
      <w:r>
        <w:rPr>
          <w:b w:val="0"/>
          <w:i w:val="0"/>
        </w:rPr>
        <w:t xml:space="preserve">The governing law of this Addendum is not finalized. The Parties will select from: (a) the law of the North Carolina (excluding conflicts principles); (b) the law of the North Carolina for commercial matters with the law and jurisdiction of the Lumbee Tribe of North Carolina governing questions of Tribal sovereignty, Tribal Data, and conduct within the Service Territory; or (c) federal law where it controls the Award. </w:t>
      </w:r>
      <w:r>
        <w:rPr>
          <w:b w:val="0"/>
          <w:i w:val="0"/>
          <w:color w:val="804000"/>
          <w:highlight w:val="yellow"/>
        </w:rPr>
        <w:t>[■ selected governing-law alternative]</w:t>
      </w:r>
      <w:r>
        <w:rPr>
          <w:b w:val="0"/>
          <w:i w:val="0"/>
        </w:rPr>
        <w:t>.</w:t>
      </w:r>
    </w:p>
    <w:p>
      <w:pPr>
        <w:ind w:left="504"/>
      </w:pPr>
      <w:r>
        <w:rPr>
          <w:b/>
          <w:color w:val="0000C0"/>
        </w:rPr>
        <w:t xml:space="preserve">[ATTORNEY REVIEW REQUIRED]  </w:t>
      </w:r>
      <w:r>
        <w:rPr>
          <w:i/>
          <w:color w:val="595959"/>
        </w:rPr>
        <w:t>Governing law, dispute resolution, and any limited waiver of sovereign immunity must not be selected silently. Counsel for the Lumbee Tribe must confirm the alternative and its interaction with the Master Agreement.</w:t>
      </w:r>
    </w:p>
    <w:p>
      <w:pPr>
        <w:pStyle w:val="Heading2"/>
        <w:spacing w:before="160" w:after="60"/>
      </w:pPr>
      <w:r>
        <w:rPr>
          <w:rFonts w:ascii="Calibri" w:hAnsi="Calibri"/>
          <w:b/>
          <w:color w:val="000000"/>
          <w:sz w:val="22"/>
        </w:rPr>
        <w:t>20.2  Sovereign Immunity</w:t>
      </w:r>
    </w:p>
    <w:p>
      <w:r>
        <w:rPr>
          <w:b w:val="0"/>
          <w:i w:val="0"/>
        </w:rPr>
        <w:t xml:space="preserve">Nothing in this Addendum waives the sovereign immunity of the Lumbee Tribe of North Carolina. Any limited waiver, if agreed, must be express, written, specifically identify the claims and remedies covered, and be authorized as required by Tribal law. </w:t>
      </w:r>
      <w:r>
        <w:rPr>
          <w:b w:val="0"/>
          <w:i w:val="0"/>
          <w:color w:val="804000"/>
          <w:highlight w:val="yellow"/>
        </w:rPr>
        <w:t>[■ cross-reference Master Agreement sovereign-immunity section]</w:t>
      </w:r>
      <w:r>
        <w:rPr>
          <w:b w:val="0"/>
          <w:i w:val="0"/>
        </w:rPr>
        <w:t>.</w:t>
      </w:r>
    </w:p>
    <w:p>
      <w:pPr>
        <w:pStyle w:val="Heading2"/>
        <w:spacing w:before="160" w:after="60"/>
      </w:pPr>
      <w:r>
        <w:rPr>
          <w:rFonts w:ascii="Calibri" w:hAnsi="Calibri"/>
          <w:b/>
          <w:color w:val="000000"/>
          <w:sz w:val="22"/>
        </w:rPr>
        <w:t>20.3  Order of Precedence</w:t>
      </w:r>
    </w:p>
    <w:p>
      <w:r>
        <w:rPr>
          <w:b w:val="0"/>
          <w:i w:val="0"/>
        </w:rPr>
        <w:t>In the event of a conflict, the order of precedence is: (a) the Award terms and applicable federal law; (b) the Master Agreement (Document 02.01); (c) this Addendum (Document 02.06); and (d) the O&amp;M/SLA (Document 02.03), except that this Addendum controls on matters of data privacy, CPNI, cybersecurity, and Tribal Data sovereignty.</w:t>
      </w:r>
    </w:p>
    <w:p>
      <w:pPr>
        <w:pStyle w:val="Heading2"/>
        <w:spacing w:before="160" w:after="60"/>
      </w:pPr>
      <w:r>
        <w:rPr>
          <w:rFonts w:ascii="Calibri" w:hAnsi="Calibri"/>
          <w:b/>
          <w:color w:val="000000"/>
          <w:sz w:val="22"/>
        </w:rPr>
        <w:t>20.4  Survival</w:t>
      </w:r>
    </w:p>
    <w:p>
      <w:r>
        <w:rPr>
          <w:b w:val="0"/>
          <w:i w:val="0"/>
        </w:rPr>
        <w:t>The obligations relating to confidentiality, CPNI, return/destruction, records retention, Tribal Data sovereignty, audit, and breach liability survive expiration or termination for the periods required by law and the Award.</w:t>
      </w:r>
    </w:p>
    <w:p>
      <w:pPr>
        <w:pStyle w:val="Heading2"/>
        <w:spacing w:before="160" w:after="60"/>
      </w:pPr>
      <w:r>
        <w:rPr>
          <w:rFonts w:ascii="Calibri" w:hAnsi="Calibri"/>
          <w:b/>
          <w:color w:val="000000"/>
          <w:sz w:val="22"/>
        </w:rPr>
        <w:t>20.5  Amendment</w:t>
      </w:r>
    </w:p>
    <w:p>
      <w:r>
        <w:rPr>
          <w:b w:val="0"/>
          <w:i w:val="0"/>
        </w:rPr>
        <w:t>This Addendum may be amended only by a writing signed by both Parties, subject to any Award-required approvals.</w:t>
      </w:r>
    </w:p>
    <w:p/>
    <w:p>
      <w:r>
        <w:rPr>
          <w:i/>
        </w:rPr>
        <w:t>IN WITNESS WHEREOF, the Parties have caused this instrument to be executed by their duly authorized representatives as of the Effective Date.</w:t>
      </w:r>
    </w:p>
    <w:p/>
    <w:p>
      <w:r>
        <w:rPr>
          <w:b/>
          <w:color w:val="1F3864"/>
        </w:rPr>
        <w:t>Lumbee Tribe of North Carolina</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Tribal signatory]</w:t>
      </w:r>
    </w:p>
    <w:p>
      <w:pPr>
        <w:ind w:left="360"/>
      </w:pPr>
      <w:r>
        <w:rPr>
          <w:b/>
        </w:rPr>
        <w:t xml:space="preserve">Title:  </w:t>
      </w:r>
      <w:r>
        <w:rPr>
          <w:b w:val="0"/>
          <w:i w:val="0"/>
          <w:color w:val="804000"/>
          <w:highlight w:val="yellow"/>
        </w:rPr>
        <w:t>[■ e.g., Chairman, Lumbee Tribal Council / Tribal Administrator]</w:t>
      </w:r>
    </w:p>
    <w:p>
      <w:pPr>
        <w:ind w:left="360"/>
      </w:pPr>
      <w:r>
        <w:rPr>
          <w:b/>
        </w:rPr>
        <w:t xml:space="preserve">Date:  </w:t>
      </w:r>
      <w:r>
        <w:rPr>
          <w:b w:val="0"/>
          <w:i w:val="0"/>
        </w:rPr>
        <w:t>____________________________________</w:t>
      </w:r>
    </w:p>
    <w:p/>
    <w:p>
      <w:r>
        <w:rPr>
          <w:b/>
          <w:color w:val="1F3864"/>
        </w:rPr>
        <w:t>LREMC Technologies, LLC d/b/a RIVR Tech</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RIVR Tech signatory]</w:t>
      </w:r>
    </w:p>
    <w:p>
      <w:pPr>
        <w:ind w:left="360"/>
      </w:pPr>
      <w:r>
        <w:rPr>
          <w:b/>
        </w:rPr>
        <w:t xml:space="preserve">Title:  </w:t>
      </w:r>
      <w:r>
        <w:rPr>
          <w:b w:val="0"/>
          <w:i w:val="0"/>
          <w:color w:val="804000"/>
          <w:highlight w:val="yellow"/>
        </w:rPr>
        <w:t>[■ e.g., Chief Executive Officer / Manager]</w:t>
      </w:r>
    </w:p>
    <w:p>
      <w:pPr>
        <w:ind w:left="360"/>
      </w:pPr>
      <w:r>
        <w:rPr>
          <w:b/>
        </w:rPr>
        <w:t xml:space="preserve">Date:  </w:t>
      </w:r>
      <w:r>
        <w:rPr>
          <w:b w:val="0"/>
          <w:i w:val="0"/>
        </w:rPr>
        <w:t>____________________________________</w:t>
      </w:r>
    </w:p>
    <w:p/>
    <w:p>
      <w:pPr>
        <w:ind w:left="504"/>
      </w:pPr>
      <w:r>
        <w:rPr>
          <w:b/>
          <w:color w:val="0000C0"/>
        </w:rPr>
        <w:t xml:space="preserve">[ATTORNEY REVIEW REQUIRED]  </w:t>
      </w:r>
      <w:r>
        <w:rPr>
          <w:i/>
          <w:color w:val="595959"/>
        </w:rPr>
        <w:t>Confirm signatory authority, sovereign-immunity/governing-law selections, and CPNI/breach-notice timelines before execution.</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Draft v0.1 | July 16,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Data Privacy &amp; Cybersecurity Addendum  —  DRAFT FOR DISCUSSION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