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EXHIBIT A</w:t>
      </w:r>
    </w:p>
    <w:p>
      <w:pPr>
        <w:jc w:val="center"/>
      </w:pPr>
      <w:r>
        <w:rPr>
          <w:b/>
          <w:color w:val="1F3864"/>
          <w:sz w:val="48"/>
        </w:rPr>
        <w:t>PROJECT AREA AND ROUTE SCHEDULE</w:t>
      </w:r>
    </w:p>
    <w:p>
      <w:pPr>
        <w:jc w:val="center"/>
      </w:pPr>
      <w:r>
        <w:rPr>
          <w:color w:val="595959"/>
          <w:sz w:val="28"/>
        </w:rPr>
        <w:t>Service Territory, Route Inventory, and Anchor Institutions</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DRAFT FOR DISCUSSION – SUBJECT TO LEGAL, GRANT AND FINANCIAL REVIEW</w:t>
      </w:r>
    </w:p>
    <w:p/>
    <w:p>
      <w:pPr>
        <w:pStyle w:val="Heading1"/>
        <w:spacing w:before="240" w:after="120"/>
      </w:pPr>
      <w:r>
        <w:rPr>
          <w:rFonts w:ascii="Calibri" w:hAnsi="Calibri"/>
          <w:b/>
          <w:color w:val="1F3864"/>
          <w:sz w:val="26"/>
        </w:rPr>
        <w:t>ARTICLE 1.  SERVICE TERRITORY</w:t>
      </w:r>
    </w:p>
    <w:p>
      <w:pPr>
        <w:pStyle w:val="Heading2"/>
        <w:spacing w:before="160" w:after="60"/>
      </w:pPr>
      <w:r>
        <w:rPr>
          <w:rFonts w:ascii="Calibri" w:hAnsi="Calibri"/>
          <w:b/>
          <w:color w:val="000000"/>
          <w:sz w:val="22"/>
        </w:rPr>
        <w:t>1.1  Description of the Service Territory</w:t>
      </w:r>
    </w:p>
    <w:p>
      <w:r>
        <w:rPr>
          <w:b w:val="0"/>
          <w:i w:val="0"/>
        </w:rPr>
        <w:t>The Service Territory for the Network lies within southeastern North Carolina. It comprises the Tribal service area of the Lumbee Tribe of North Carolina and the contiguous unserved and underserved areas targeted for buildout under the Tribal Broadband Connectivity Program (TBCP). The precise geographic scope is defined by the polygons, county lists, and census blocks identified in the funded application and is subject to confirmation against the final NTIA award.</w:t>
      </w:r>
    </w:p>
    <w:p>
      <w:r>
        <w:rPr>
          <w:b w:val="0"/>
          <w:i w:val="0"/>
        </w:rPr>
        <w:t xml:space="preserve">Approximate served area: </w:t>
      </w:r>
      <w:r>
        <w:rPr>
          <w:b w:val="0"/>
          <w:i w:val="0"/>
          <w:color w:val="804000"/>
          <w:highlight w:val="yellow"/>
        </w:rPr>
        <w:t>[■ total square miles of Service Territory]</w:t>
      </w:r>
      <w:r>
        <w:rPr>
          <w:b w:val="0"/>
          <w:i w:val="0"/>
        </w:rPr>
        <w:t xml:space="preserve">. Counties: </w:t>
      </w:r>
      <w:r>
        <w:rPr>
          <w:b w:val="0"/>
          <w:i w:val="0"/>
          <w:color w:val="804000"/>
          <w:highlight w:val="yellow"/>
        </w:rPr>
        <w:t>[■ list of North Carolina counties, e.g., Robeson, Hoke, Scotland, Cumberland, Bladen]</w:t>
      </w:r>
      <w:r>
        <w:rPr>
          <w:b w:val="0"/>
          <w:i w:val="0"/>
        </w:rPr>
        <w:t xml:space="preserve">. Census blocks / broadband serviceable locations: </w:t>
      </w:r>
      <w:r>
        <w:rPr>
          <w:b w:val="0"/>
          <w:i w:val="0"/>
          <w:color w:val="804000"/>
          <w:highlight w:val="yellow"/>
        </w:rPr>
        <w:t>[■ count and identifiers of eligible census blocks / BSLs from the funded application]</w:t>
      </w:r>
      <w:r>
        <w:rPr>
          <w:b w:val="0"/>
          <w:i w:val="0"/>
        </w:rPr>
        <w:t>.</w:t>
      </w:r>
    </w:p>
    <w:p>
      <w:pPr>
        <w:ind w:left="504"/>
      </w:pPr>
      <w:r>
        <w:rPr>
          <w:b/>
          <w:color w:val="007000"/>
        </w:rPr>
        <w:t xml:space="preserve">[TECHNICAL INFORMATION REQUIRED]  </w:t>
      </w:r>
      <w:r>
        <w:rPr>
          <w:i/>
          <w:color w:val="595959"/>
        </w:rPr>
        <w:t>Exact Service Territory boundary, county list, and census-block inventory to be supplied from the GIS / broadband-serviceable-location layer used in the funded application.</w:t>
      </w:r>
    </w:p>
    <w:p>
      <w:pPr>
        <w:ind w:left="504"/>
      </w:pPr>
      <w:r>
        <w:rPr>
          <w:b/>
          <w:color w:val="7F007F"/>
        </w:rPr>
        <w:t xml:space="preserve">[GRANT COMPLIANCE REVIEW REQUIRED]  </w:t>
      </w:r>
      <w:r>
        <w:rPr>
          <w:i/>
          <w:color w:val="595959"/>
        </w:rPr>
        <w:t>Eligibility of the Service Territory turns on the Lumbee Tribe's federal-recognition status under the Lumbee Act of 1956, Pub. L. 84-570, 70 Stat. 254 (federal-recognition status affecting TBCP eligibility); confirm TBCP eligibility footprint against the award before construction.</w:t>
      </w:r>
    </w:p>
    <w:p>
      <w:pPr>
        <w:pStyle w:val="Heading2"/>
        <w:spacing w:before="160" w:after="60"/>
      </w:pPr>
      <w:r>
        <w:rPr>
          <w:rFonts w:ascii="Calibri" w:hAnsi="Calibri"/>
          <w:b/>
          <w:color w:val="000000"/>
          <w:sz w:val="22"/>
        </w:rPr>
        <w:t>1.2  Map Reference</w:t>
      </w:r>
    </w:p>
    <w:p>
      <w:r>
        <w:rPr>
          <w:b w:val="0"/>
          <w:i w:val="0"/>
        </w:rPr>
        <w:t>The Service Territory and all routes in the Route Schedule below are depicted on the project map set incorporated by reference.</w:t>
      </w:r>
    </w:p>
    <w:p>
      <w:r>
        <w:rPr>
          <w:b w:val="0"/>
          <w:i w:val="0"/>
        </w:rPr>
        <w:t xml:space="preserve">Map set reference: </w:t>
      </w:r>
      <w:r>
        <w:rPr>
          <w:b w:val="0"/>
          <w:i w:val="0"/>
          <w:color w:val="804000"/>
          <w:highlight w:val="yellow"/>
        </w:rPr>
        <w:t>[■ map set title, revision number, and date]</w:t>
      </w:r>
      <w:r>
        <w:rPr>
          <w:b w:val="0"/>
          <w:i w:val="0"/>
        </w:rPr>
        <w:t xml:space="preserve">. Coordinate system: </w:t>
      </w:r>
      <w:r>
        <w:rPr>
          <w:b w:val="0"/>
          <w:i w:val="0"/>
          <w:color w:val="804000"/>
          <w:highlight w:val="yellow"/>
        </w:rPr>
        <w:t>[■ e.g., NAD83 / North Carolina State Plane (2264)]</w:t>
      </w:r>
      <w:r>
        <w:rPr>
          <w:b w:val="0"/>
          <w:i w:val="0"/>
        </w:rPr>
        <w:t xml:space="preserve">. Authoritative GIS package: </w:t>
      </w:r>
      <w:r>
        <w:rPr>
          <w:b w:val="0"/>
          <w:i w:val="0"/>
          <w:color w:val="804000"/>
          <w:highlight w:val="yellow"/>
        </w:rPr>
        <w:t>[■ file name / repository path for the geospatial deliverable]</w:t>
      </w:r>
      <w:r>
        <w:rPr>
          <w:b w:val="0"/>
          <w:i w:val="0"/>
        </w:rPr>
        <w:t>.</w:t>
      </w:r>
    </w:p>
    <w:p>
      <w:pPr>
        <w:pStyle w:val="Heading1"/>
        <w:spacing w:before="240" w:after="120"/>
      </w:pPr>
      <w:r>
        <w:rPr>
          <w:rFonts w:ascii="Calibri" w:hAnsi="Calibri"/>
          <w:b/>
          <w:color w:val="1F3864"/>
          <w:sz w:val="26"/>
        </w:rPr>
        <w:t>ARTICLE 2.  ROUTE SCHEDULE</w:t>
      </w:r>
    </w:p>
    <w:p>
      <w:pPr>
        <w:pStyle w:val="Heading2"/>
        <w:spacing w:before="160" w:after="60"/>
      </w:pPr>
      <w:r>
        <w:rPr>
          <w:rFonts w:ascii="Calibri" w:hAnsi="Calibri"/>
          <w:b/>
          <w:color w:val="000000"/>
          <w:sz w:val="22"/>
        </w:rPr>
        <w:t>2.1  Route Inventory</w:t>
      </w:r>
    </w:p>
    <w:p>
      <w:r>
        <w:rPr>
          <w:b w:val="0"/>
          <w:i w:val="0"/>
        </w:rPr>
        <w:t>The following routes constitute the physical plant of the Network. Ownership indicates whether a route is a grant-funded Tribal Asset owned by the Lumbee Tribe, an existing RIVR Tech Existing Network asset owned by RIVR Tech, or a Jointly Funded Asset.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val="clear" w:color="auto" w:fill="1F3864"/>
            <w:vAlign w:val="center"/>
          </w:tcPr>
          <w:p>
            <w:pPr>
              <w:jc w:val="center"/>
            </w:pPr>
            <w:r>
              <w:rPr>
                <w:b/>
                <w:color w:val="FFFFFF"/>
                <w:sz w:val="18"/>
              </w:rPr>
              <w:t>Route ID</w:t>
            </w:r>
          </w:p>
        </w:tc>
        <w:tc>
          <w:tcPr>
            <w:tcW w:type="dxa" w:w="2736"/>
            <w:shd w:val="clear" w:color="auto" w:fill="1F3864"/>
            <w:vAlign w:val="center"/>
          </w:tcPr>
          <w:p>
            <w:pPr>
              <w:jc w:val="center"/>
            </w:pPr>
            <w:r>
              <w:rPr>
                <w:b/>
                <w:color w:val="FFFFFF"/>
                <w:sz w:val="18"/>
              </w:rPr>
              <w:t>Segment (from → to)</w:t>
            </w:r>
          </w:p>
        </w:tc>
        <w:tc>
          <w:tcPr>
            <w:tcW w:type="dxa" w:w="1152"/>
            <w:shd w:val="clear" w:color="auto" w:fill="1F3864"/>
            <w:vAlign w:val="center"/>
          </w:tcPr>
          <w:p>
            <w:pPr>
              <w:jc w:val="center"/>
            </w:pPr>
            <w:r>
              <w:rPr>
                <w:b/>
                <w:color w:val="FFFFFF"/>
                <w:sz w:val="18"/>
              </w:rPr>
              <w:t>Approx. miles</w:t>
            </w:r>
          </w:p>
        </w:tc>
        <w:tc>
          <w:tcPr>
            <w:tcW w:type="dxa" w:w="1152"/>
            <w:shd w:val="clear" w:color="auto" w:fill="1F3864"/>
            <w:vAlign w:val="center"/>
          </w:tcPr>
          <w:p>
            <w:pPr>
              <w:jc w:val="center"/>
            </w:pPr>
            <w:r>
              <w:rPr>
                <w:b/>
                <w:color w:val="FFFFFF"/>
                <w:sz w:val="18"/>
              </w:rPr>
              <w:t>Fiber count</w:t>
            </w:r>
          </w:p>
        </w:tc>
        <w:tc>
          <w:tcPr>
            <w:tcW w:type="dxa" w:w="1728"/>
            <w:shd w:val="clear" w:color="auto" w:fill="1F3864"/>
            <w:vAlign w:val="center"/>
          </w:tcPr>
          <w:p>
            <w:pPr>
              <w:jc w:val="center"/>
            </w:pPr>
            <w:r>
              <w:rPr>
                <w:b/>
                <w:color w:val="FFFFFF"/>
                <w:sz w:val="18"/>
              </w:rPr>
              <w:t>Ownership</w:t>
            </w:r>
          </w:p>
        </w:tc>
        <w:tc>
          <w:tcPr>
            <w:tcW w:type="dxa" w:w="1440"/>
            <w:shd w:val="clear" w:color="auto" w:fill="1F3864"/>
            <w:vAlign w:val="center"/>
          </w:tcPr>
          <w:p>
            <w:pPr>
              <w:jc w:val="center"/>
            </w:pPr>
            <w:r>
              <w:rPr>
                <w:b/>
                <w:color w:val="FFFFFF"/>
                <w:sz w:val="18"/>
              </w:rPr>
              <w:t>Status</w:t>
            </w:r>
          </w:p>
        </w:tc>
      </w:tr>
      <w:tr>
        <w:tc>
          <w:tcPr>
            <w:tcW w:type="dxa" w:w="1152"/>
            <w:vAlign w:val="center"/>
          </w:tcPr>
          <w:p>
            <w:r>
              <w:rPr>
                <w:b w:val="0"/>
                <w:i w:val="0"/>
                <w:color w:val="804000"/>
                <w:sz w:val="18"/>
                <w:highlight w:val="yellow"/>
              </w:rPr>
              <w:t>[■ R-001]</w:t>
            </w:r>
          </w:p>
        </w:tc>
        <w:tc>
          <w:tcPr>
            <w:tcW w:type="dxa" w:w="2736"/>
            <w:vAlign w:val="center"/>
          </w:tcPr>
          <w:p>
            <w:r>
              <w:rPr>
                <w:b w:val="0"/>
                <w:i w:val="0"/>
                <w:color w:val="804000"/>
                <w:sz w:val="18"/>
                <w:highlight w:val="yellow"/>
              </w:rPr>
              <w:t>[■ segment endpoints]</w:t>
            </w:r>
          </w:p>
        </w:tc>
        <w:tc>
          <w:tcPr>
            <w:tcW w:type="dxa" w:w="1152"/>
            <w:vAlign w:val="center"/>
          </w:tcPr>
          <w:p>
            <w:r>
              <w:rPr>
                <w:b w:val="0"/>
                <w:i w:val="0"/>
                <w:color w:val="804000"/>
                <w:sz w:val="18"/>
                <w:highlight w:val="yellow"/>
              </w:rPr>
              <w:t>[■ mi]</w:t>
            </w:r>
          </w:p>
        </w:tc>
        <w:tc>
          <w:tcPr>
            <w:tcW w:type="dxa" w:w="1152"/>
            <w:vAlign w:val="center"/>
          </w:tcPr>
          <w:p>
            <w:r>
              <w:rPr>
                <w:b w:val="0"/>
                <w:i w:val="0"/>
                <w:color w:val="804000"/>
                <w:sz w:val="18"/>
                <w:highlight w:val="yellow"/>
              </w:rPr>
              <w:t>[■ ct]</w:t>
            </w:r>
          </w:p>
        </w:tc>
        <w:tc>
          <w:tcPr>
            <w:tcW w:type="dxa" w:w="1728"/>
            <w:vAlign w:val="center"/>
          </w:tcPr>
          <w:p>
            <w:r>
              <w:rPr>
                <w:b w:val="0"/>
                <w:i w:val="0"/>
                <w:color w:val="804000"/>
                <w:sz w:val="18"/>
                <w:highlight w:val="yellow"/>
              </w:rPr>
              <w:t>[■ Lumbee Tribe / RIVR Tech / Joint]</w:t>
            </w:r>
          </w:p>
        </w:tc>
        <w:tc>
          <w:tcPr>
            <w:tcW w:type="dxa" w:w="1440"/>
            <w:vAlign w:val="center"/>
          </w:tcPr>
          <w:p>
            <w:r>
              <w:rPr>
                <w:b w:val="0"/>
                <w:i w:val="0"/>
                <w:color w:val="804000"/>
                <w:sz w:val="18"/>
                <w:highlight w:val="yellow"/>
              </w:rPr>
              <w:t>[■ planned/in-progress/complete]</w:t>
            </w:r>
          </w:p>
        </w:tc>
      </w:tr>
      <w:tr>
        <w:tc>
          <w:tcPr>
            <w:tcW w:type="dxa" w:w="1152"/>
            <w:shd w:val="clear" w:color="auto" w:fill="F2F2F2"/>
            <w:vAlign w:val="center"/>
          </w:tcPr>
          <w:p>
            <w:r>
              <w:rPr>
                <w:b w:val="0"/>
                <w:i w:val="0"/>
                <w:color w:val="804000"/>
                <w:sz w:val="18"/>
                <w:highlight w:val="yellow"/>
              </w:rPr>
              <w:t>[■ R-002]</w:t>
            </w:r>
          </w:p>
        </w:tc>
        <w:tc>
          <w:tcPr>
            <w:tcW w:type="dxa" w:w="2736"/>
            <w:shd w:val="clear" w:color="auto" w:fill="F2F2F2"/>
            <w:vAlign w:val="center"/>
          </w:tcPr>
          <w:p>
            <w:r>
              <w:rPr>
                <w:b w:val="0"/>
                <w:i w:val="0"/>
                <w:color w:val="804000"/>
                <w:sz w:val="18"/>
                <w:highlight w:val="yellow"/>
              </w:rPr>
              <w:t>[■ segment endpoints]</w:t>
            </w:r>
          </w:p>
        </w:tc>
        <w:tc>
          <w:tcPr>
            <w:tcW w:type="dxa" w:w="1152"/>
            <w:shd w:val="clear" w:color="auto" w:fill="F2F2F2"/>
            <w:vAlign w:val="center"/>
          </w:tcPr>
          <w:p>
            <w:r>
              <w:rPr>
                <w:b w:val="0"/>
                <w:i w:val="0"/>
                <w:color w:val="804000"/>
                <w:sz w:val="18"/>
                <w:highlight w:val="yellow"/>
              </w:rPr>
              <w:t>[■ mi]</w:t>
            </w:r>
          </w:p>
        </w:tc>
        <w:tc>
          <w:tcPr>
            <w:tcW w:type="dxa" w:w="1152"/>
            <w:shd w:val="clear" w:color="auto" w:fill="F2F2F2"/>
            <w:vAlign w:val="center"/>
          </w:tcPr>
          <w:p>
            <w:r>
              <w:rPr>
                <w:b w:val="0"/>
                <w:i w:val="0"/>
                <w:color w:val="804000"/>
                <w:sz w:val="18"/>
                <w:highlight w:val="yellow"/>
              </w:rPr>
              <w:t>[■ ct]</w:t>
            </w:r>
          </w:p>
        </w:tc>
        <w:tc>
          <w:tcPr>
            <w:tcW w:type="dxa" w:w="1728"/>
            <w:shd w:val="clear" w:color="auto" w:fill="F2F2F2"/>
            <w:vAlign w:val="center"/>
          </w:tcPr>
          <w:p>
            <w:r>
              <w:rPr>
                <w:b w:val="0"/>
                <w:i w:val="0"/>
                <w:color w:val="804000"/>
                <w:sz w:val="18"/>
                <w:highlight w:val="yellow"/>
              </w:rPr>
              <w:t>[■ Lumbee Tribe / RIVR Tech / Joint]</w:t>
            </w:r>
          </w:p>
        </w:tc>
        <w:tc>
          <w:tcPr>
            <w:tcW w:type="dxa" w:w="1440"/>
            <w:shd w:val="clear" w:color="auto" w:fill="F2F2F2"/>
            <w:vAlign w:val="center"/>
          </w:tcPr>
          <w:p>
            <w:r>
              <w:rPr>
                <w:b w:val="0"/>
                <w:i w:val="0"/>
                <w:color w:val="804000"/>
                <w:sz w:val="18"/>
                <w:highlight w:val="yellow"/>
              </w:rPr>
              <w:t>[■ status]</w:t>
            </w:r>
          </w:p>
        </w:tc>
      </w:tr>
      <w:tr>
        <w:tc>
          <w:tcPr>
            <w:tcW w:type="dxa" w:w="1152"/>
            <w:vAlign w:val="center"/>
          </w:tcPr>
          <w:p>
            <w:r>
              <w:rPr>
                <w:b w:val="0"/>
                <w:i w:val="0"/>
                <w:color w:val="804000"/>
                <w:sz w:val="18"/>
                <w:highlight w:val="yellow"/>
              </w:rPr>
              <w:t>[■ R-003]</w:t>
            </w:r>
          </w:p>
        </w:tc>
        <w:tc>
          <w:tcPr>
            <w:tcW w:type="dxa" w:w="2736"/>
            <w:vAlign w:val="center"/>
          </w:tcPr>
          <w:p>
            <w:r>
              <w:rPr>
                <w:b w:val="0"/>
                <w:i w:val="0"/>
                <w:color w:val="804000"/>
                <w:sz w:val="18"/>
                <w:highlight w:val="yellow"/>
              </w:rPr>
              <w:t>[■ segment endpoints]</w:t>
            </w:r>
          </w:p>
        </w:tc>
        <w:tc>
          <w:tcPr>
            <w:tcW w:type="dxa" w:w="1152"/>
            <w:vAlign w:val="center"/>
          </w:tcPr>
          <w:p>
            <w:r>
              <w:rPr>
                <w:b w:val="0"/>
                <w:i w:val="0"/>
                <w:color w:val="804000"/>
                <w:sz w:val="18"/>
                <w:highlight w:val="yellow"/>
              </w:rPr>
              <w:t>[■ mi]</w:t>
            </w:r>
          </w:p>
        </w:tc>
        <w:tc>
          <w:tcPr>
            <w:tcW w:type="dxa" w:w="1152"/>
            <w:vAlign w:val="center"/>
          </w:tcPr>
          <w:p>
            <w:r>
              <w:rPr>
                <w:b w:val="0"/>
                <w:i w:val="0"/>
                <w:color w:val="804000"/>
                <w:sz w:val="18"/>
                <w:highlight w:val="yellow"/>
              </w:rPr>
              <w:t>[■ ct]</w:t>
            </w:r>
          </w:p>
        </w:tc>
        <w:tc>
          <w:tcPr>
            <w:tcW w:type="dxa" w:w="1728"/>
            <w:vAlign w:val="center"/>
          </w:tcPr>
          <w:p>
            <w:r>
              <w:rPr>
                <w:b w:val="0"/>
                <w:i w:val="0"/>
                <w:color w:val="804000"/>
                <w:sz w:val="18"/>
                <w:highlight w:val="yellow"/>
              </w:rPr>
              <w:t>[■ Lumbee Tribe / RIVR Tech / Joint]</w:t>
            </w:r>
          </w:p>
        </w:tc>
        <w:tc>
          <w:tcPr>
            <w:tcW w:type="dxa" w:w="1440"/>
            <w:vAlign w:val="center"/>
          </w:tcPr>
          <w:p>
            <w:r>
              <w:rPr>
                <w:b w:val="0"/>
                <w:i w:val="0"/>
                <w:color w:val="804000"/>
                <w:sz w:val="18"/>
                <w:highlight w:val="yellow"/>
              </w:rPr>
              <w:t>[■ status]</w:t>
            </w:r>
          </w:p>
        </w:tc>
      </w:tr>
      <w:tr>
        <w:tc>
          <w:tcPr>
            <w:tcW w:type="dxa" w:w="1152"/>
            <w:shd w:val="clear" w:color="auto" w:fill="F2F2F2"/>
            <w:vAlign w:val="center"/>
          </w:tcPr>
          <w:p>
            <w:r>
              <w:rPr>
                <w:b w:val="0"/>
                <w:i w:val="0"/>
                <w:color w:val="804000"/>
                <w:sz w:val="18"/>
                <w:highlight w:val="yellow"/>
              </w:rPr>
              <w:t>[■ MM-001 (middle-mile)]</w:t>
            </w:r>
          </w:p>
        </w:tc>
        <w:tc>
          <w:tcPr>
            <w:tcW w:type="dxa" w:w="2736"/>
            <w:shd w:val="clear" w:color="auto" w:fill="F2F2F2"/>
            <w:vAlign w:val="center"/>
          </w:tcPr>
          <w:p>
            <w:r>
              <w:rPr>
                <w:b w:val="0"/>
                <w:i w:val="0"/>
                <w:color w:val="804000"/>
                <w:sz w:val="18"/>
                <w:highlight w:val="yellow"/>
              </w:rPr>
              <w:t>[■ existing backbone segment]</w:t>
            </w:r>
          </w:p>
        </w:tc>
        <w:tc>
          <w:tcPr>
            <w:tcW w:type="dxa" w:w="1152"/>
            <w:shd w:val="clear" w:color="auto" w:fill="F2F2F2"/>
            <w:vAlign w:val="center"/>
          </w:tcPr>
          <w:p>
            <w:r>
              <w:rPr>
                <w:b w:val="0"/>
                <w:i w:val="0"/>
                <w:color w:val="804000"/>
                <w:sz w:val="18"/>
                <w:highlight w:val="yellow"/>
              </w:rPr>
              <w:t>[■ mi]</w:t>
            </w:r>
          </w:p>
        </w:tc>
        <w:tc>
          <w:tcPr>
            <w:tcW w:type="dxa" w:w="1152"/>
            <w:shd w:val="clear" w:color="auto" w:fill="F2F2F2"/>
            <w:vAlign w:val="center"/>
          </w:tcPr>
          <w:p>
            <w:r>
              <w:rPr>
                <w:b w:val="0"/>
                <w:i w:val="0"/>
                <w:color w:val="804000"/>
                <w:sz w:val="18"/>
                <w:highlight w:val="yellow"/>
              </w:rPr>
              <w:t>[■ ct]</w:t>
            </w:r>
          </w:p>
        </w:tc>
        <w:tc>
          <w:tcPr>
            <w:tcW w:type="dxa" w:w="1728"/>
            <w:shd w:val="clear" w:color="auto" w:fill="F2F2F2"/>
            <w:vAlign w:val="center"/>
          </w:tcPr>
          <w:p>
            <w:r>
              <w:rPr>
                <w:b w:val="0"/>
                <w:i w:val="0"/>
                <w:sz w:val="18"/>
              </w:rPr>
              <w:t>RIVR Tech</w:t>
            </w:r>
          </w:p>
        </w:tc>
        <w:tc>
          <w:tcPr>
            <w:tcW w:type="dxa" w:w="1440"/>
            <w:shd w:val="clear" w:color="auto" w:fill="F2F2F2"/>
            <w:vAlign w:val="center"/>
          </w:tcPr>
          <w:p>
            <w:r>
              <w:rPr>
                <w:b w:val="0"/>
                <w:i w:val="0"/>
                <w:color w:val="804000"/>
                <w:sz w:val="18"/>
                <w:highlight w:val="yellow"/>
              </w:rPr>
              <w:t>[■ in service]</w:t>
            </w:r>
          </w:p>
        </w:tc>
      </w:tr>
    </w:tbl>
    <w:p>
      <w:pPr>
        <w:ind w:left="504"/>
      </w:pPr>
      <w:r>
        <w:rPr>
          <w:b/>
          <w:color w:val="007000"/>
        </w:rPr>
        <w:t xml:space="preserve">[TECHNICAL INFORMATION REQUIRED]  </w:t>
      </w:r>
      <w:r>
        <w:rPr>
          <w:i/>
          <w:color w:val="595959"/>
        </w:rPr>
        <w:t>Route inventory, mileages, fiber counts, and as-built status to be populated from the OSP design and GIS route data (see Exhibit E for as-built / GIS delivery requirements).</w:t>
      </w:r>
    </w:p>
    <w:p>
      <w:pPr>
        <w:pStyle w:val="Heading1"/>
        <w:spacing w:before="240" w:after="120"/>
      </w:pPr>
      <w:r>
        <w:rPr>
          <w:rFonts w:ascii="Calibri" w:hAnsi="Calibri"/>
          <w:b/>
          <w:color w:val="1F3864"/>
          <w:sz w:val="26"/>
        </w:rPr>
        <w:t>ARTICLE 3.  ANCHOR INSTITUTIONS</w:t>
      </w:r>
    </w:p>
    <w:p>
      <w:pPr>
        <w:pStyle w:val="Heading2"/>
        <w:spacing w:before="160" w:after="60"/>
      </w:pPr>
      <w:r>
        <w:rPr>
          <w:rFonts w:ascii="Calibri" w:hAnsi="Calibri"/>
          <w:b/>
          <w:color w:val="000000"/>
          <w:sz w:val="22"/>
        </w:rPr>
        <w:t>3.1  Community Anchor Institutions Served</w:t>
      </w:r>
    </w:p>
    <w:p>
      <w:r>
        <w:rPr>
          <w:b w:val="0"/>
          <w:i w:val="0"/>
        </w:rPr>
        <w:t>The following community anchor institutions are prioritized for connection within the Service Territory:</w:t>
      </w:r>
    </w:p>
    <w:p>
      <w:pPr>
        <w:pStyle w:val="ListBullet"/>
      </w:pPr>
      <w:r>
        <w:rPr>
          <w:b w:val="0"/>
          <w:i w:val="0"/>
        </w:rPr>
        <w:t xml:space="preserve">Tribal government facilities: </w:t>
      </w:r>
      <w:r>
        <w:rPr>
          <w:b w:val="0"/>
          <w:i w:val="0"/>
          <w:color w:val="804000"/>
          <w:highlight w:val="yellow"/>
        </w:rPr>
        <w:t>[■ facility name(s), address(es), and route/segment reference]</w:t>
      </w:r>
    </w:p>
    <w:p>
      <w:pPr>
        <w:pStyle w:val="ListBullet"/>
      </w:pPr>
      <w:r>
        <w:rPr>
          <w:b w:val="0"/>
          <w:i w:val="0"/>
        </w:rPr>
        <w:t xml:space="preserve">Public schools / education: </w:t>
      </w:r>
      <w:r>
        <w:rPr>
          <w:b w:val="0"/>
          <w:i w:val="0"/>
          <w:color w:val="804000"/>
          <w:highlight w:val="yellow"/>
        </w:rPr>
        <w:t>[■ facility name(s), address(es), and route/segment reference]</w:t>
      </w:r>
    </w:p>
    <w:p>
      <w:pPr>
        <w:pStyle w:val="ListBullet"/>
      </w:pPr>
      <w:r>
        <w:rPr>
          <w:b w:val="0"/>
          <w:i w:val="0"/>
        </w:rPr>
        <w:t xml:space="preserve">Health care / clinics: </w:t>
      </w:r>
      <w:r>
        <w:rPr>
          <w:b w:val="0"/>
          <w:i w:val="0"/>
          <w:color w:val="804000"/>
          <w:highlight w:val="yellow"/>
        </w:rPr>
        <w:t>[■ facility name(s), address(es), and route/segment reference]</w:t>
      </w:r>
    </w:p>
    <w:p>
      <w:pPr>
        <w:pStyle w:val="ListBullet"/>
      </w:pPr>
      <w:r>
        <w:rPr>
          <w:b w:val="0"/>
          <w:i w:val="0"/>
        </w:rPr>
        <w:t xml:space="preserve">Public safety / emergency services: </w:t>
      </w:r>
      <w:r>
        <w:rPr>
          <w:b w:val="0"/>
          <w:i w:val="0"/>
          <w:color w:val="804000"/>
          <w:highlight w:val="yellow"/>
        </w:rPr>
        <w:t>[■ facility name(s), address(es), and route/segment reference]</w:t>
      </w:r>
    </w:p>
    <w:p>
      <w:pPr>
        <w:pStyle w:val="ListBullet"/>
      </w:pPr>
      <w:r>
        <w:rPr>
          <w:b w:val="0"/>
          <w:i w:val="0"/>
        </w:rPr>
        <w:t xml:space="preserve">Libraries and community centers: </w:t>
      </w:r>
      <w:r>
        <w:rPr>
          <w:b w:val="0"/>
          <w:i w:val="0"/>
          <w:color w:val="804000"/>
          <w:highlight w:val="yellow"/>
        </w:rPr>
        <w:t>[■ facility name(s), address(es), and route/segment reference]</w:t>
      </w:r>
    </w:p>
    <w:p>
      <w:pPr>
        <w:pStyle w:val="ListBullet"/>
      </w:pPr>
      <w:r>
        <w:rPr>
          <w:b w:val="0"/>
          <w:i w:val="0"/>
        </w:rPr>
        <w:t xml:space="preserve">Higher education: </w:t>
      </w:r>
      <w:r>
        <w:rPr>
          <w:b w:val="0"/>
          <w:i w:val="0"/>
          <w:color w:val="804000"/>
          <w:highlight w:val="yellow"/>
        </w:rPr>
        <w:t>[■ facility name(s), address(es), and route/segment reference]</w:t>
      </w:r>
    </w:p>
    <w:p>
      <w:pPr>
        <w:ind w:left="504"/>
      </w:pPr>
      <w:r>
        <w:rPr>
          <w:b/>
          <w:color w:val="007000"/>
        </w:rPr>
        <w:t xml:space="preserve">[TECHNICAL INFORMATION REQUIRED]  </w:t>
      </w:r>
      <w:r>
        <w:rPr>
          <w:i/>
          <w:color w:val="595959"/>
        </w:rPr>
        <w:t>Anchor-institution list, addresses, and required service levels to be confirmed against the funded application and Exhibit M service tiers.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Exhibit A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