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2"/>
          <w:highlight w:val="yellow"/>
        </w:rPr>
        <w:t>DRAFT FOR DISCUSSION – SUBJECT TO LEGAL, GRANT AND FINANCIAL REVIEW</w:t>
      </w:r>
    </w:p>
    <w:p/>
    <w:p/>
    <w:p/>
    <w:p>
      <w:pPr>
        <w:jc w:val="center"/>
      </w:pPr>
      <w:r>
        <w:rPr>
          <w:b/>
          <w:color w:val="595959"/>
          <w:sz w:val="24"/>
        </w:rPr>
        <w:t>EXHIBIT G</w:t>
      </w:r>
    </w:p>
    <w:p>
      <w:pPr>
        <w:jc w:val="center"/>
      </w:pPr>
      <w:r>
        <w:rPr>
          <w:b/>
          <w:color w:val="1F3864"/>
          <w:sz w:val="48"/>
        </w:rPr>
        <w:t>NETWORK ACCEPTANCE CERTIFICATE</w:t>
      </w:r>
    </w:p>
    <w:p>
      <w:pPr>
        <w:jc w:val="center"/>
      </w:pPr>
      <w:r>
        <w:rPr>
          <w:color w:val="595959"/>
          <w:sz w:val="28"/>
        </w:rPr>
        <w:t>Form of Acceptance — Places a Segment in Service</w:t>
      </w:r>
    </w:p>
    <w:p/>
    <w:p/>
    <w:p>
      <w:pPr>
        <w:jc w:val="center"/>
      </w:pPr>
      <w:r>
        <w:rPr>
          <w:i/>
          <w:sz w:val="22"/>
        </w:rPr>
        <w:t>by and between</w:t>
      </w:r>
    </w:p>
    <w:p>
      <w:pPr>
        <w:jc w:val="center"/>
      </w:pPr>
      <w:r>
        <w:rPr>
          <w:b/>
          <w:i w:val="0"/>
          <w:color w:val="1F3864"/>
          <w:sz w:val="28"/>
        </w:rPr>
        <w:t>Lumbee Tribe of North Carolina</w:t>
      </w:r>
    </w:p>
    <w:p>
      <w:pPr>
        <w:jc w:val="center"/>
      </w:pPr>
      <w:r>
        <w:rPr>
          <w:b w:val="0"/>
          <w:i/>
          <w:sz w:val="22"/>
        </w:rPr>
        <w:t>and</w:t>
      </w:r>
    </w:p>
    <w:p>
      <w:pPr>
        <w:jc w:val="center"/>
      </w:pPr>
      <w:r>
        <w:rPr>
          <w:b/>
          <w:i w:val="0"/>
          <w:color w:val="1F3864"/>
          <w:sz w:val="28"/>
        </w:rPr>
        <w:t>LREMC Technologies, LLC d/b/a RIVR Tech</w:t>
      </w:r>
    </w:p>
    <w:p/>
    <w:p/>
    <w:p/>
    <w:p/>
    <w:p>
      <w:pPr>
        <w:jc w:val="center"/>
      </w:pPr>
      <w:r>
        <w:rPr>
          <w:b/>
          <w:sz w:val="20"/>
        </w:rPr>
        <w:t xml:space="preserve">Version:  </w:t>
      </w:r>
      <w:r>
        <w:rPr>
          <w:sz w:val="20"/>
        </w:rPr>
        <w:t>Draft v0.1</w:t>
      </w:r>
    </w:p>
    <w:p>
      <w:pPr>
        <w:jc w:val="center"/>
      </w:pPr>
      <w:r>
        <w:rPr>
          <w:b/>
          <w:sz w:val="20"/>
        </w:rPr>
        <w:t xml:space="preserve">Version Date:  </w:t>
      </w:r>
      <w:r>
        <w:rPr>
          <w:sz w:val="20"/>
        </w:rPr>
        <w:t>July 16, 2026</w:t>
      </w:r>
    </w:p>
    <w:p>
      <w:pPr>
        <w:jc w:val="center"/>
      </w:pPr>
      <w:r>
        <w:rPr>
          <w:b/>
          <w:sz w:val="20"/>
        </w:rPr>
        <w:t xml:space="preserve">Document Status:  </w:t>
      </w:r>
      <w:r>
        <w:rPr>
          <w:sz w:val="20"/>
        </w:rPr>
        <w:t>Working draft — not executed; not final legal advice</w:t>
      </w:r>
    </w:p>
    <w:p>
      <w:pPr>
        <w:jc w:val="center"/>
      </w:pPr>
      <w:r>
        <w:rPr>
          <w:b/>
          <w:sz w:val="20"/>
        </w:rPr>
        <w:t xml:space="preserve">Program:  </w:t>
      </w:r>
      <w:r>
        <w:rPr>
          <w:sz w:val="20"/>
        </w:rPr>
        <w:t>Tribal Broadband Connectivity Program (TBCP), National Telecommunications and Information Administration (NTIA)</w:t>
      </w:r>
    </w:p>
    <w:p/>
    <w:p/>
    <w:p>
      <w:pPr>
        <w:jc w:val="center"/>
      </w:pPr>
      <w:r>
        <w:rPr>
          <w:i/>
          <w:color w:val="595959"/>
          <w:sz w:val="18"/>
        </w:rPr>
        <w:t>CONFIDENTIAL – ATTORNEY WORK PRODUCT / SUBJECT TO COMMON-INTEREST PRIVILEGE</w:t>
      </w:r>
    </w:p>
    <w:p>
      <w:r>
        <w:br w:type="page"/>
      </w:r>
    </w:p>
    <w:p>
      <w:pPr>
        <w:jc w:val="center"/>
      </w:pPr>
      <w:r>
        <w:rPr>
          <w:b/>
          <w:color w:val="C00000"/>
          <w:highlight w:val="yellow"/>
        </w:rPr>
        <w:t>DRAFT FOR DISCUSSION – SUBJECT TO LEGAL, GRANT AND FINANCIAL REVIEW</w:t>
      </w:r>
    </w:p>
    <w:p/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1.  SEGMENT IDENTIFICATION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5616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Entry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b w:val="0"/>
                <w:i w:val="0"/>
                <w:sz w:val="20"/>
              </w:rPr>
              <w:t>Acceptance Certificate No.</w:t>
            </w:r>
          </w:p>
        </w:tc>
        <w:tc>
          <w:tcPr>
            <w:tcW w:type="dxa" w:w="5616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AC-###]</w:t>
            </w:r>
          </w:p>
        </w:tc>
      </w:tr>
      <w:tr>
        <w:tc>
          <w:tcPr>
            <w:tcW w:type="dxa" w:w="34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Route / segment</w:t>
            </w:r>
          </w:p>
        </w:tc>
        <w:tc>
          <w:tcPr>
            <w:tcW w:type="dxa" w:w="5616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route ID and endpoints (Exhibit A)]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b w:val="0"/>
                <w:i w:val="0"/>
                <w:sz w:val="20"/>
              </w:rPr>
              <w:t>Strand assignment</w:t>
            </w:r>
          </w:p>
        </w:tc>
        <w:tc>
          <w:tcPr>
            <w:tcW w:type="dxa" w:w="5616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strands accepted (Exhibit C)]</w:t>
            </w:r>
          </w:p>
        </w:tc>
      </w:tr>
      <w:tr>
        <w:tc>
          <w:tcPr>
            <w:tcW w:type="dxa" w:w="34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Ownership / owner</w:t>
            </w:r>
          </w:p>
        </w:tc>
        <w:tc>
          <w:tcPr>
            <w:tcW w:type="dxa" w:w="5616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Lumbee Tribe / RIVR Tech / Joint (Exhibit B)]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b w:val="0"/>
                <w:i w:val="0"/>
                <w:sz w:val="20"/>
              </w:rPr>
              <w:t>Date of testing</w:t>
            </w:r>
          </w:p>
        </w:tc>
        <w:tc>
          <w:tcPr>
            <w:tcW w:type="dxa" w:w="5616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date]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2.  TEST RESULTS SUMMARY</w:t>
      </w:r>
    </w:p>
    <w:p>
      <w:r>
        <w:rPr>
          <w:b w:val="0"/>
          <w:i w:val="0"/>
        </w:rPr>
        <w:t>Testing was performed to the standards in Exhibit E (Acceptance Testing Standards).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896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4176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4896"/>
            <w:vAlign w:val="center"/>
          </w:tcPr>
          <w:p>
            <w:r>
              <w:rPr>
                <w:b w:val="0"/>
                <w:i w:val="0"/>
                <w:sz w:val="20"/>
              </w:rPr>
              <w:t>Bi-directional OTDR at 1310 nm / 1550 nm</w:t>
            </w:r>
          </w:p>
        </w:tc>
        <w:tc>
          <w:tcPr>
            <w:tcW w:type="dxa" w:w="4176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pass / fail summary]</w:t>
            </w:r>
          </w:p>
        </w:tc>
      </w:tr>
      <w:tr>
        <w:tc>
          <w:tcPr>
            <w:tcW w:type="dxa" w:w="489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Splice loss within threshold</w:t>
            </w:r>
          </w:p>
        </w:tc>
        <w:tc>
          <w:tcPr>
            <w:tcW w:type="dxa" w:w="4176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yes / no — worst-case value]</w:t>
            </w:r>
          </w:p>
        </w:tc>
      </w:tr>
      <w:tr>
        <w:tc>
          <w:tcPr>
            <w:tcW w:type="dxa" w:w="4896"/>
            <w:vAlign w:val="center"/>
          </w:tcPr>
          <w:p>
            <w:r>
              <w:rPr>
                <w:b w:val="0"/>
                <w:i w:val="0"/>
                <w:sz w:val="20"/>
              </w:rPr>
              <w:t>Connector loss within threshold</w:t>
            </w:r>
          </w:p>
        </w:tc>
        <w:tc>
          <w:tcPr>
            <w:tcW w:type="dxa" w:w="4176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yes / no — worst-case value]</w:t>
            </w:r>
          </w:p>
        </w:tc>
      </w:tr>
      <w:tr>
        <w:tc>
          <w:tcPr>
            <w:tcW w:type="dxa" w:w="489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Span/link loss within budget</w:t>
            </w:r>
          </w:p>
        </w:tc>
        <w:tc>
          <w:tcPr>
            <w:tcW w:type="dxa" w:w="4176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yes / no — margin]</w:t>
            </w:r>
          </w:p>
        </w:tc>
      </w:tr>
      <w:tr>
        <w:tc>
          <w:tcPr>
            <w:tcW w:type="dxa" w:w="4896"/>
            <w:vAlign w:val="center"/>
          </w:tcPr>
          <w:p>
            <w:r>
              <w:rPr>
                <w:b w:val="0"/>
                <w:i w:val="0"/>
                <w:sz w:val="20"/>
              </w:rPr>
              <w:t>Test documentation delivered</w:t>
            </w:r>
          </w:p>
        </w:tc>
        <w:tc>
          <w:tcPr>
            <w:tcW w:type="dxa" w:w="4176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yes / no]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3.  PUNCH LIST AND DELIVERABLES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896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176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896"/>
            <w:vAlign w:val="center"/>
          </w:tcPr>
          <w:p>
            <w:r>
              <w:rPr>
                <w:b w:val="0"/>
                <w:i w:val="0"/>
                <w:sz w:val="20"/>
              </w:rPr>
              <w:t>Punch-list status</w:t>
            </w:r>
          </w:p>
        </w:tc>
        <w:tc>
          <w:tcPr>
            <w:tcW w:type="dxa" w:w="4176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no open items / list attached with target dates]</w:t>
            </w:r>
          </w:p>
        </w:tc>
      </w:tr>
      <w:tr>
        <w:tc>
          <w:tcPr>
            <w:tcW w:type="dxa" w:w="489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As-built drawings delivered (Y/N)</w:t>
            </w:r>
          </w:p>
        </w:tc>
        <w:tc>
          <w:tcPr>
            <w:tcW w:type="dxa" w:w="4176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Y / N]</w:t>
            </w:r>
          </w:p>
        </w:tc>
      </w:tr>
      <w:tr>
        <w:tc>
          <w:tcPr>
            <w:tcW w:type="dxa" w:w="4896"/>
            <w:vAlign w:val="center"/>
          </w:tcPr>
          <w:p>
            <w:r>
              <w:rPr>
                <w:b w:val="0"/>
                <w:i w:val="0"/>
                <w:sz w:val="20"/>
              </w:rPr>
              <w:t>GIS data delivered (Y/N)</w:t>
            </w:r>
          </w:p>
        </w:tc>
        <w:tc>
          <w:tcPr>
            <w:tcW w:type="dxa" w:w="4176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Y / N]</w:t>
            </w:r>
          </w:p>
        </w:tc>
      </w:tr>
      <w:tr>
        <w:tc>
          <w:tcPr>
            <w:tcW w:type="dxa" w:w="489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Strand mapping updated (Exhibit C)</w:t>
            </w:r>
          </w:p>
        </w:tc>
        <w:tc>
          <w:tcPr>
            <w:tcW w:type="dxa" w:w="4176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Y / N]</w:t>
            </w:r>
          </w:p>
        </w:tc>
      </w:tr>
      <w:tr>
        <w:tc>
          <w:tcPr>
            <w:tcW w:type="dxa" w:w="4896"/>
            <w:vAlign w:val="center"/>
          </w:tcPr>
          <w:p>
            <w:r>
              <w:rPr>
                <w:b w:val="0"/>
                <w:i w:val="0"/>
                <w:sz w:val="20"/>
              </w:rPr>
              <w:t>Asset inventory updated (Exhibit K)</w:t>
            </w:r>
          </w:p>
        </w:tc>
        <w:tc>
          <w:tcPr>
            <w:tcW w:type="dxa" w:w="4176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Y / N]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4.  PLACED-IN-SERVICE</w:t>
      </w:r>
    </w:p>
    <w:p>
      <w:r>
        <w:rPr>
          <w:b w:val="0"/>
          <w:i w:val="0"/>
        </w:rPr>
        <w:t xml:space="preserve">Date placed in service: </w:t>
      </w:r>
      <w:r>
        <w:rPr>
          <w:b w:val="0"/>
          <w:i w:val="0"/>
          <w:color w:val="804000"/>
          <w:highlight w:val="yellow"/>
        </w:rPr>
        <w:t>[■ in-service date]</w:t>
      </w:r>
      <w:r>
        <w:rPr>
          <w:b w:val="0"/>
          <w:i w:val="0"/>
        </w:rPr>
        <w:t>.</w:t>
      </w:r>
    </w:p>
    <w:p>
      <w:pPr>
        <w:ind w:left="504"/>
      </w:pPr>
      <w:r>
        <w:rPr>
          <w:b/>
          <w:color w:val="7F007F"/>
        </w:rPr>
        <w:t xml:space="preserve">[GRANT COMPLIANCE REVIEW REQUIRED]  </w:t>
      </w:r>
      <w:r>
        <w:rPr>
          <w:i/>
          <w:color w:val="595959"/>
        </w:rPr>
        <w:t>The date placed in service is relevant to the Federal Interest, depreciation, and the property records required under 2 CFR 200.313 (Equipment — use, management, and disposition). Confirm the in-service date is recorded in the Exhibit K asset inventory.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5.  CERTIFICATION AND ACCEPTANCE</w:t>
      </w:r>
    </w:p>
    <w:p>
      <w:r>
        <w:rPr>
          <w:b w:val="0"/>
          <w:i w:val="0"/>
        </w:rPr>
        <w:t>RIVR Tech certifies that the segment identified above was constructed and tested in accordance with Exhibit E and is complete except for any punch-list items noted. The Lumbee Tribe accepts the segment subject to clearance of any open punch-list items.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Party</w:t>
            </w:r>
          </w:p>
        </w:tc>
        <w:tc>
          <w:tcPr>
            <w:tcW w:type="dxa" w:w="5328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Signature / Date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b w:val="0"/>
                <w:i w:val="0"/>
                <w:sz w:val="20"/>
              </w:rPr>
              <w:t>RIVR Tech — certifying engineer/PM</w:t>
            </w:r>
          </w:p>
        </w:tc>
        <w:tc>
          <w:tcPr>
            <w:tcW w:type="dxa" w:w="5328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name / title]</w:t>
            </w:r>
            <w:r>
              <w:rPr>
                <w:b w:val="0"/>
                <w:i w:val="0"/>
                <w:sz w:val="20"/>
              </w:rPr>
              <w:t xml:space="preserve">  ____________________  Date: ______</w:t>
            </w:r>
          </w:p>
        </w:tc>
      </w:tr>
      <w:tr>
        <w:tc>
          <w:tcPr>
            <w:tcW w:type="dxa" w:w="374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Lumbee Tribe — authorized acceptance</w:t>
            </w:r>
          </w:p>
        </w:tc>
        <w:tc>
          <w:tcPr>
            <w:tcW w:type="dxa" w:w="5328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name / title]</w:t>
            </w:r>
            <w:r>
              <w:rPr>
                <w:b w:val="0"/>
                <w:i w:val="0"/>
                <w:sz w:val="20"/>
              </w:rPr>
              <w:t xml:space="preserve">  ____________________  Date: ______</w:t>
            </w:r>
          </w:p>
        </w:tc>
      </w:tr>
    </w:tbl>
    <w:p>
      <w:pPr>
        <w:ind w:left="504"/>
      </w:pPr>
      <w:r>
        <w:rPr>
          <w:b/>
          <w:color w:val="0000C0"/>
        </w:rPr>
        <w:t xml:space="preserve">[ATTORNEY REVIEW REQUIRED]  </w:t>
      </w:r>
      <w:r>
        <w:rPr>
          <w:i/>
          <w:color w:val="595959"/>
        </w:rPr>
        <w:t>Confirm that acceptance here does not waive warranty rights or punch-list obligations under the O&amp;M / IRU agreements.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enter"/>
        <w:tab w:pos="9360" w:val="right"/>
      </w:tabs>
    </w:pPr>
    <w:r>
      <w:rPr>
        <w:color w:val="595959"/>
        <w:sz w:val="16"/>
      </w:rPr>
    </w:r>
    <w:r>
      <w:rPr>
        <w:color w:val="595959"/>
        <w:sz w:val="16"/>
      </w:rPr>
      <w:t>Draft v0.1 | July 16, 2026</w:t>
    </w:r>
    <w:r>
      <w:rPr>
        <w:color w:val="595959"/>
        <w:sz w:val="16"/>
      </w:rPr>
      <w:tab/>
    </w:r>
    <w:r>
      <w:rPr>
        <w:color w:val="595959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</w:rPr>
      <w:t xml:space="preserve"> of </w:t>
    </w:r>
    <w:r>
      <w:rPr>
        <w:color w:val="595959"/>
        <w:sz w:val="16"/>
      </w:rPr>
      <w:fldChar w:fldCharType="begin"/>
      <w:instrText xml:space="preserve">NUMPAGES</w:instrText>
      <w:fldChar w:fldCharType="separate"/>
      <w:fldChar w:fldCharType="end"/>
    </w:r>
    <w:r>
      <w:tab/>
    </w:r>
    <w:r>
      <w:rPr>
        <w:color w:val="595959"/>
        <w:sz w:val="16"/>
      </w:rPr>
      <w:t>Confidential —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95959"/>
        <w:sz w:val="16"/>
      </w:rPr>
      <w:t>Exhibit G  —  DRAFT FOR DISCUSSION – SUBJECT TO LEGAL, GRANT AND FINANCIAL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