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2"/>
          <w:highlight w:val="yellow"/>
        </w:rPr>
        <w:t>DRAFT FOR DISCUSSION – SUBJECT TO LEGAL, GRANT AND FINANCIAL REVIEW</w:t>
      </w:r>
    </w:p>
    <w:p/>
    <w:p/>
    <w:p/>
    <w:p>
      <w:pPr>
        <w:jc w:val="center"/>
      </w:pPr>
      <w:r>
        <w:rPr>
          <w:b/>
          <w:color w:val="595959"/>
          <w:sz w:val="24"/>
        </w:rPr>
        <w:t>EXHIBIT H</w:t>
      </w:r>
    </w:p>
    <w:p>
      <w:pPr>
        <w:jc w:val="center"/>
      </w:pPr>
      <w:r>
        <w:rPr>
          <w:b/>
          <w:color w:val="1F3864"/>
          <w:sz w:val="48"/>
        </w:rPr>
        <w:t>MAINTENANCE ESCALATION LIST</w:t>
      </w:r>
    </w:p>
    <w:p>
      <w:pPr>
        <w:jc w:val="center"/>
      </w:pPr>
      <w:r>
        <w:rPr>
          <w:color w:val="595959"/>
          <w:sz w:val="28"/>
        </w:rPr>
        <w:t>Contact Tiers, Severity Thresholds, and After-Hours / Storm-Mode Contacts</w:t>
      </w:r>
    </w:p>
    <w:p/>
    <w:p/>
    <w:p>
      <w:pPr>
        <w:jc w:val="center"/>
      </w:pPr>
      <w:r>
        <w:rPr>
          <w:i/>
          <w:sz w:val="22"/>
        </w:rPr>
        <w:t>by and between</w:t>
      </w:r>
    </w:p>
    <w:p>
      <w:pPr>
        <w:jc w:val="center"/>
      </w:pPr>
      <w:r>
        <w:rPr>
          <w:b/>
          <w:i w:val="0"/>
          <w:color w:val="1F3864"/>
          <w:sz w:val="28"/>
        </w:rPr>
        <w:t>Lumbee Tribe of North Carolina</w:t>
      </w:r>
    </w:p>
    <w:p>
      <w:pPr>
        <w:jc w:val="center"/>
      </w:pPr>
      <w:r>
        <w:rPr>
          <w:b w:val="0"/>
          <w:i/>
          <w:sz w:val="22"/>
        </w:rPr>
        <w:t>and</w:t>
      </w:r>
    </w:p>
    <w:p>
      <w:pPr>
        <w:jc w:val="center"/>
      </w:pPr>
      <w:r>
        <w:rPr>
          <w:b/>
          <w:i w:val="0"/>
          <w:color w:val="1F3864"/>
          <w:sz w:val="28"/>
        </w:rPr>
        <w:t>LREMC Technologies, LLC d/b/a RIVR Tech</w:t>
      </w:r>
    </w:p>
    <w:p/>
    <w:p/>
    <w:p/>
    <w:p/>
    <w:p>
      <w:pPr>
        <w:jc w:val="center"/>
      </w:pPr>
      <w:r>
        <w:rPr>
          <w:b/>
          <w:sz w:val="20"/>
        </w:rPr>
        <w:t xml:space="preserve">Version:  </w:t>
      </w:r>
      <w:r>
        <w:rPr>
          <w:sz w:val="20"/>
        </w:rPr>
        <w:t>Draft v0.1</w:t>
      </w:r>
    </w:p>
    <w:p>
      <w:pPr>
        <w:jc w:val="center"/>
      </w:pPr>
      <w:r>
        <w:rPr>
          <w:b/>
          <w:sz w:val="20"/>
        </w:rPr>
        <w:t xml:space="preserve">Version Date:  </w:t>
      </w:r>
      <w:r>
        <w:rPr>
          <w:sz w:val="20"/>
        </w:rPr>
        <w:t>July 16, 2026</w:t>
      </w:r>
    </w:p>
    <w:p>
      <w:pPr>
        <w:jc w:val="center"/>
      </w:pPr>
      <w:r>
        <w:rPr>
          <w:b/>
          <w:sz w:val="20"/>
        </w:rPr>
        <w:t xml:space="preserve">Document Status:  </w:t>
      </w:r>
      <w:r>
        <w:rPr>
          <w:sz w:val="20"/>
        </w:rPr>
        <w:t>Working draft — not executed; not final legal advice</w:t>
      </w:r>
    </w:p>
    <w:p>
      <w:pPr>
        <w:jc w:val="center"/>
      </w:pPr>
      <w:r>
        <w:rPr>
          <w:b/>
          <w:sz w:val="20"/>
        </w:rPr>
        <w:t xml:space="preserve">Program:  </w:t>
      </w:r>
      <w:r>
        <w:rPr>
          <w:sz w:val="20"/>
        </w:rPr>
        <w:t>Tribal Broadband Connectivity Program (TBCP), National Telecommunications and Information Administration (NTIA)</w:t>
      </w:r>
    </w:p>
    <w:p/>
    <w:p/>
    <w:p>
      <w:pPr>
        <w:jc w:val="center"/>
      </w:pPr>
      <w:r>
        <w:rPr>
          <w:i/>
          <w:color w:val="595959"/>
          <w:sz w:val="18"/>
        </w:rPr>
        <w:t>CONFIDENTIAL – ATTORNEY WORK PRODUCT / SUBJECT TO COMMON-INTEREST PRIVILEGE</w:t>
      </w:r>
    </w:p>
    <w:p>
      <w:r>
        <w:br w:type="page"/>
      </w:r>
    </w:p>
    <w:p>
      <w:pPr>
        <w:jc w:val="center"/>
      </w:pPr>
      <w:r>
        <w:rPr>
          <w:b/>
          <w:color w:val="C00000"/>
          <w:highlight w:val="yellow"/>
        </w:rPr>
        <w:t>DRAFT FOR DISCUSSION – SUBJECT TO LEGAL, GRANT AND FINANCIAL REVIEW</w:t>
      </w:r>
    </w:p>
    <w:p/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1.  NETWORK OPERATIONS CENTER</w:t>
      </w:r>
    </w:p>
    <w:p>
      <w:r>
        <w:rPr>
          <w:b w:val="0"/>
          <w:i w:val="0"/>
        </w:rPr>
        <w:t>The Network Operations Center (NOC) operates 24 hours per day, 7 days per week, 365 days per year and is the single point of contact for fault reporting and escalation.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NOC function</w:t>
            </w:r>
          </w:p>
        </w:tc>
        <w:tc>
          <w:tcPr>
            <w:tcW w:type="dxa" w:w="532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Contact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b w:val="0"/>
                <w:i w:val="0"/>
                <w:sz w:val="20"/>
              </w:rPr>
              <w:t>NOC — trouble reporting (24x7)</w:t>
            </w:r>
          </w:p>
        </w:tc>
        <w:tc>
          <w:tcPr>
            <w:tcW w:type="dxa" w:w="5328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phone / email / ticket portal]</w:t>
            </w:r>
          </w:p>
        </w:tc>
      </w:tr>
      <w:tr>
        <w:tc>
          <w:tcPr>
            <w:tcW w:type="dxa" w:w="374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20"/>
              </w:rPr>
              <w:t>NOC ticketing / portal</w:t>
            </w:r>
          </w:p>
        </w:tc>
        <w:tc>
          <w:tcPr>
            <w:tcW w:type="dxa" w:w="5328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20"/>
                <w:highlight w:val="yellow"/>
              </w:rPr>
              <w:t>[■ URL / instructions]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2.  ESCALATION TIERS</w:t>
      </w:r>
    </w:p>
    <w:p>
      <w:r>
        <w:rPr>
          <w:b w:val="0"/>
          <w:i w:val="0"/>
        </w:rPr>
        <w:t>Contacts escalate in order. If a tier does not acknowledge or resolve within the threshold for the applicable severity, the next tier is engaged.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Tier</w:t>
            </w:r>
          </w:p>
        </w:tc>
        <w:tc>
          <w:tcPr>
            <w:tcW w:type="dxa" w:w="216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144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144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Phone</w:t>
            </w:r>
          </w:p>
        </w:tc>
        <w:tc>
          <w:tcPr>
            <w:tcW w:type="dxa" w:w="158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Email</w:t>
            </w:r>
          </w:p>
        </w:tc>
        <w:tc>
          <w:tcPr>
            <w:tcW w:type="dxa" w:w="144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Escalate after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6"/>
              </w:rPr>
              <w:t>Tier 1</w:t>
            </w:r>
          </w:p>
        </w:tc>
        <w:tc>
          <w:tcPr>
            <w:tcW w:type="dxa" w:w="2160"/>
            <w:vAlign w:val="center"/>
          </w:tcPr>
          <w:p>
            <w:r>
              <w:rPr>
                <w:b w:val="0"/>
                <w:i w:val="0"/>
                <w:sz w:val="16"/>
              </w:rPr>
              <w:t>NOC operator / dispatch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name]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phone]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email]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sz w:val="16"/>
              </w:rPr>
              <w:t>Per severity SLA (below)</w:t>
            </w:r>
          </w:p>
        </w:tc>
      </w:tr>
      <w:tr>
        <w:tc>
          <w:tcPr>
            <w:tcW w:type="dxa" w:w="129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Tier 2</w:t>
            </w:r>
          </w:p>
        </w:tc>
        <w:tc>
          <w:tcPr>
            <w:tcW w:type="dxa" w:w="2160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Field technician / OSP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name]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phone]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email]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Missed dispatch window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6"/>
              </w:rPr>
              <w:t>Tier 3</w:t>
            </w:r>
          </w:p>
        </w:tc>
        <w:tc>
          <w:tcPr>
            <w:tcW w:type="dxa" w:w="2160"/>
            <w:vAlign w:val="center"/>
          </w:tcPr>
          <w:p>
            <w:r>
              <w:rPr>
                <w:b w:val="0"/>
                <w:i w:val="0"/>
                <w:sz w:val="16"/>
              </w:rPr>
              <w:t>Network engineering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name]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phone]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email]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sz w:val="16"/>
              </w:rPr>
              <w:t>Missed restore window</w:t>
            </w:r>
          </w:p>
        </w:tc>
      </w:tr>
      <w:tr>
        <w:tc>
          <w:tcPr>
            <w:tcW w:type="dxa" w:w="129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Tier 4</w:t>
            </w:r>
          </w:p>
        </w:tc>
        <w:tc>
          <w:tcPr>
            <w:tcW w:type="dxa" w:w="2160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Operations management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name]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phone]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email]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Restore breach / major outage</w:t>
            </w:r>
          </w:p>
        </w:tc>
      </w:tr>
      <w:tr>
        <w:tc>
          <w:tcPr>
            <w:tcW w:type="dxa" w:w="1296"/>
            <w:vAlign w:val="center"/>
          </w:tcPr>
          <w:p>
            <w:r>
              <w:rPr>
                <w:b w:val="0"/>
                <w:i w:val="0"/>
                <w:sz w:val="16"/>
              </w:rPr>
              <w:t>Lumbee Tribe liaison</w:t>
            </w:r>
          </w:p>
        </w:tc>
        <w:tc>
          <w:tcPr>
            <w:tcW w:type="dxa" w:w="2160"/>
            <w:vAlign w:val="center"/>
          </w:tcPr>
          <w:p>
            <w:r>
              <w:rPr>
                <w:b w:val="0"/>
                <w:i w:val="0"/>
                <w:sz w:val="16"/>
              </w:rPr>
              <w:t>Tribal point of contact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name]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phone]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email]</w:t>
            </w:r>
          </w:p>
        </w:tc>
        <w:tc>
          <w:tcPr>
            <w:tcW w:type="dxa" w:w="1440"/>
            <w:vAlign w:val="center"/>
          </w:tcPr>
          <w:p>
            <w:r>
              <w:rPr>
                <w:b w:val="0"/>
                <w:i w:val="0"/>
                <w:sz w:val="16"/>
              </w:rPr>
              <w:t>Any P1, or public-safety impact</w:t>
            </w:r>
          </w:p>
        </w:tc>
      </w:tr>
      <w:tr>
        <w:tc>
          <w:tcPr>
            <w:tcW w:type="dxa" w:w="129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Emergency</w:t>
            </w:r>
          </w:p>
        </w:tc>
        <w:tc>
          <w:tcPr>
            <w:tcW w:type="dxa" w:w="2160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24x7 emergency / on-call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name]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phone]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color w:val="804000"/>
                <w:sz w:val="16"/>
                <w:highlight w:val="yellow"/>
              </w:rPr>
              <w:t>[■ email]</w:t>
            </w:r>
          </w:p>
        </w:tc>
        <w:tc>
          <w:tcPr>
            <w:tcW w:type="dxa" w:w="1440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6"/>
              </w:rPr>
              <w:t>Immediate for P1 / safety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3.  SEVERITY THRESHOLDS (SLA)</w:t>
      </w:r>
    </w:p>
    <w:p>
      <w:r>
        <w:rPr>
          <w:b w:val="0"/>
          <w:i w:val="0"/>
        </w:rPr>
        <w:t>Escalation timing is driven by incident severity as defined in the O&amp;M / SLA agreement: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8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Response</w:t>
            </w:r>
          </w:p>
        </w:tc>
        <w:tc>
          <w:tcPr>
            <w:tcW w:type="dxa" w:w="158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Dispatch</w:t>
            </w:r>
          </w:p>
        </w:tc>
        <w:tc>
          <w:tcPr>
            <w:tcW w:type="dxa" w:w="172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Restore</w:t>
            </w:r>
          </w:p>
        </w:tc>
      </w:tr>
      <w:tr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sz w:val="18"/>
              </w:rPr>
              <w:t>P1 — Critical (outage / public safety)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sz w:val="18"/>
              </w:rPr>
              <w:t>15 min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sz w:val="18"/>
              </w:rPr>
              <w:t>2 hr</w:t>
            </w:r>
          </w:p>
        </w:tc>
        <w:tc>
          <w:tcPr>
            <w:tcW w:type="dxa" w:w="1728"/>
            <w:vAlign w:val="center"/>
          </w:tcPr>
          <w:p>
            <w:r>
              <w:rPr>
                <w:b w:val="0"/>
                <w:i w:val="0"/>
                <w:sz w:val="18"/>
              </w:rPr>
              <w:t>8 hr</w:t>
            </w:r>
          </w:p>
        </w:tc>
      </w:tr>
      <w:tr>
        <w:tc>
          <w:tcPr>
            <w:tcW w:type="dxa" w:w="417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P2 — Major (partial / degraded)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4 hr</w:t>
            </w:r>
          </w:p>
        </w:tc>
        <w:tc>
          <w:tcPr>
            <w:tcW w:type="dxa" w:w="172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24 hr</w:t>
            </w:r>
          </w:p>
        </w:tc>
      </w:tr>
      <w:tr>
        <w:tc>
          <w:tcPr>
            <w:tcW w:type="dxa" w:w="4176"/>
            <w:vAlign w:val="center"/>
          </w:tcPr>
          <w:p>
            <w:r>
              <w:rPr>
                <w:b w:val="0"/>
                <w:i w:val="0"/>
                <w:sz w:val="18"/>
              </w:rPr>
              <w:t>P3 — Minor (single site / non-urgent)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sz w:val="18"/>
              </w:rPr>
              <w:t>4 hr</w:t>
            </w:r>
          </w:p>
        </w:tc>
        <w:tc>
          <w:tcPr>
            <w:tcW w:type="dxa" w:w="1584"/>
            <w:vAlign w:val="center"/>
          </w:tcPr>
          <w:p>
            <w:r>
              <w:rPr>
                <w:b w:val="0"/>
                <w:i w:val="0"/>
                <w:sz w:val="18"/>
              </w:rPr>
              <w:t>24 hr</w:t>
            </w:r>
          </w:p>
        </w:tc>
        <w:tc>
          <w:tcPr>
            <w:tcW w:type="dxa" w:w="1728"/>
            <w:vAlign w:val="center"/>
          </w:tcPr>
          <w:p>
            <w:r>
              <w:rPr>
                <w:b w:val="0"/>
                <w:i w:val="0"/>
                <w:sz w:val="18"/>
              </w:rPr>
              <w:t>5 days</w:t>
            </w:r>
          </w:p>
        </w:tc>
      </w:tr>
      <w:tr>
        <w:tc>
          <w:tcPr>
            <w:tcW w:type="dxa" w:w="4176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P4 — Informational / scheduled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8 hr</w:t>
            </w:r>
          </w:p>
        </w:tc>
        <w:tc>
          <w:tcPr>
            <w:tcW w:type="dxa" w:w="1584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As scheduled</w:t>
            </w:r>
          </w:p>
        </w:tc>
        <w:tc>
          <w:tcPr>
            <w:tcW w:type="dxa" w:w="1728"/>
            <w:shd w:val="clear" w:color="auto" w:fill="F2F2F2"/>
            <w:vAlign w:val="center"/>
          </w:tcPr>
          <w:p>
            <w:r>
              <w:rPr>
                <w:b w:val="0"/>
                <w:i w:val="0"/>
                <w:sz w:val="18"/>
              </w:rPr>
              <w:t>30 days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F3864"/>
          <w:sz w:val="26"/>
        </w:rPr>
        <w:t>ARTICLE 4.  AFTER-HOURS AND STORM-MODE CONTACTS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4.1  After-Hours</w:t>
      </w:r>
    </w:p>
    <w:p>
      <w:r>
        <w:rPr>
          <w:b w:val="0"/>
          <w:i w:val="0"/>
        </w:rPr>
        <w:t xml:space="preserve">Outside business hours, all reporting routes through the 24x7 NOC, which engages the on-call tiers above. After-hours on-call: </w:t>
      </w:r>
      <w:r>
        <w:rPr>
          <w:b w:val="0"/>
          <w:i w:val="0"/>
          <w:color w:val="804000"/>
          <w:highlight w:val="yellow"/>
        </w:rPr>
        <w:t>[■ on-call rotation / phone]</w:t>
      </w:r>
      <w:r>
        <w:rPr>
          <w:b w:val="0"/>
          <w:i w:val="0"/>
        </w:rPr>
        <w:t>.</w:t>
      </w:r>
    </w:p>
    <w:p>
      <w:pPr>
        <w:pStyle w:val="Heading2"/>
        <w:spacing w:before="160" w:after="60"/>
      </w:pPr>
      <w:r>
        <w:rPr>
          <w:rFonts w:ascii="Calibri" w:hAnsi="Calibri"/>
          <w:b/>
          <w:color w:val="000000"/>
          <w:sz w:val="22"/>
        </w:rPr>
        <w:t>4.2  Storm Mode / Major Event</w:t>
      </w:r>
    </w:p>
    <w:p>
      <w:r>
        <w:rPr>
          <w:b w:val="0"/>
          <w:i w:val="0"/>
        </w:rPr>
        <w:t xml:space="preserve">During declared storms or major events, storm-mode staffing and prioritization apply, with public-safety and health-care circuits restored first. Storm-mode command contact: </w:t>
      </w:r>
      <w:r>
        <w:rPr>
          <w:b w:val="0"/>
          <w:i w:val="0"/>
          <w:color w:val="804000"/>
          <w:highlight w:val="yellow"/>
        </w:rPr>
        <w:t>[■ name / phone / email]</w:t>
      </w:r>
      <w:r>
        <w:rPr>
          <w:b w:val="0"/>
          <w:i w:val="0"/>
        </w:rPr>
        <w:t xml:space="preserve">. Lumbee Tribe emergency-management coordination: </w:t>
      </w:r>
      <w:r>
        <w:rPr>
          <w:b w:val="0"/>
          <w:i w:val="0"/>
          <w:color w:val="804000"/>
          <w:highlight w:val="yellow"/>
        </w:rPr>
        <w:t>[■ EM contact]</w:t>
      </w:r>
      <w:r>
        <w:rPr>
          <w:b w:val="0"/>
          <w:i w:val="0"/>
        </w:rPr>
        <w:t>.</w:t>
      </w:r>
    </w:p>
    <w:p>
      <w:pPr>
        <w:ind w:left="504"/>
      </w:pPr>
      <w:r>
        <w:rPr>
          <w:b/>
          <w:color w:val="007000"/>
        </w:rPr>
        <w:t xml:space="preserve">[TECHNICAL INFORMATION REQUIRED]  </w:t>
      </w:r>
      <w:r>
        <w:rPr>
          <w:i/>
          <w:color w:val="595959"/>
        </w:rPr>
        <w:t>All names, phone numbers, and email addresses to be supplied and kept current; distribute updates to the Lumbee Tribe liaison.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</w:pPr>
    <w:r>
      <w:rPr>
        <w:color w:val="595959"/>
        <w:sz w:val="16"/>
      </w:rPr>
    </w:r>
    <w:r>
      <w:rPr>
        <w:color w:val="595959"/>
        <w:sz w:val="16"/>
      </w:rPr>
      <w:t>Draft v0.1 | July 16, 2026</w:t>
    </w:r>
    <w:r>
      <w:rPr>
        <w:color w:val="595959"/>
        <w:sz w:val="16"/>
      </w:rPr>
      <w:tab/>
    </w:r>
    <w:r>
      <w:rPr>
        <w:color w:val="595959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color w:val="595959"/>
        <w:sz w:val="16"/>
      </w:rPr>
      <w:t>Confidential —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95959"/>
        <w:sz w:val="16"/>
      </w:rPr>
      <w:t>Exhibit H  —  DRAFT FOR DISCUSSION – SUBJECT TO LEGAL, GRANT AND FINANCIAL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