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DRAFT FOR DISCUSSION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06.01</w:t>
      </w:r>
    </w:p>
    <w:p>
      <w:pPr>
        <w:jc w:val="center"/>
      </w:pPr>
      <w:r>
        <w:rPr>
          <w:b/>
          <w:color w:val="1F3864"/>
          <w:sz w:val="48"/>
        </w:rPr>
        <w:t>Attorney Review Issue List</w:t>
      </w:r>
    </w:p>
    <w:p>
      <w:pPr>
        <w:jc w:val="center"/>
      </w:pPr>
      <w:r>
        <w:rPr>
          <w:color w:val="595959"/>
          <w:sz w:val="28"/>
        </w:rPr>
        <w:t>Open Legal Issues, Recommended Positions, and Owners for the Lumbee Tribe / RIVR Tech Broadband Partnership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July 16,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DRAFT FOR DISCUSSION – SUBJECT TO LEGAL, GRANT AND FINANCIAL REVIEW</w:t>
      </w:r>
    </w:p>
    <w:p/>
    <w:p>
      <w:r>
        <w:rPr>
          <w:b w:val="0"/>
          <w:i w:val="0"/>
        </w:rPr>
        <w:t>This issue list is prepared for counsel review. It is not legal advice. Recommended positions are drafting starting points only; governing law, jurisdiction, sovereign immunity, and subrecipient-vs-contractor status are OPEN ITEMS reserved for the Parties' counsel and are not resolved here. Priority: H = high / gating, M = medium, L = lower.</w:t>
      </w:r>
    </w:p>
    <w:p/>
    <w:p>
      <w:pPr>
        <w:ind w:left="504"/>
      </w:pPr>
      <w:r>
        <w:rPr>
          <w:b/>
          <w:color w:val="7F007F"/>
        </w:rPr>
        <w:t xml:space="preserve">[GRANT COMPLIANCE REVIEW REQUIRED]  </w:t>
      </w:r>
      <w:r>
        <w:rPr>
          <w:i/>
          <w:color w:val="595959"/>
        </w:rPr>
        <w:t>Lead item #1 (Lumbee federal recognition / TBCP eligibility) is a threshold, potentially deal-gating question and is flagged for grant and attorney review before other items are finalized.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65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73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Description / Risk</w:t>
            </w:r>
          </w:p>
        </w:tc>
        <w:tc>
          <w:tcPr>
            <w:tcW w:type="dxa" w:w="165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Citation</w:t>
            </w:r>
          </w:p>
        </w:tc>
        <w:tc>
          <w:tcPr>
            <w:tcW w:type="dxa" w:w="266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Recommended Position</w:t>
            </w:r>
          </w:p>
        </w:tc>
        <w:tc>
          <w:tcPr>
            <w:tcW w:type="dxa" w:w="136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0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Pri.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1. Lumbee federal recognition / TBCP eligibility (LEAD)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Whether the Lumbee Tribe qualifies as an eligible "Tribal Government" for a TBCP Award, given the Lumbee Act's limited-recognition language. If ineligible or contested, the entire funding premise fails or must be restructured through an eligible designated entity.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Lumbee Act of 1956, Pub. L. 84-570, 70 Stat. 254 (federal-recognition status affecting TBCP eligibility); TBCP Round 3 Notice of Funding Opportunity (NTIA, June 2026)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Confirm eligibility with NTIA in writing before award acceptance; identify an eligible designated/affiliated entity as fallback; condition all agreements on eligibility confirmation.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Tribal counsel + Grant counsel + NTIA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2. Sovereign immunity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Extent to which the Lumbee Tribe waives immunity for enforcement; RIVR Tech needs enforceable remedies; Lumbee Tribe must protect assets and self-governance.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Common-law tribal sovereign immunity;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OPEN — do not pre-decide. If any waiver, make it a limited, express, narrowly-scoped waiver by separate specific Council action, capped and asset-limited; pair with dispute-resolution clause.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Tribal counsel (lead) + RIVR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3. Governing law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Which body of law governs the agreements (Tribal law, N.C. law, federal). Affects interpretation and enforceability.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Choice-of-law principles;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OPEN — reserved for counsel. Commonly negotiated to N.C. law for commercial terms with Tribal law respected for Tribal-governance matters; confirm consistency with any immunity waiver.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Both parties'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4. Tribal court jurisdiction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Whether disputes may/must be heard in a Tribal forum; adequacy and neutrality of forum for a commercial counterparty.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OPEN. Consider Tribal court for Tribal-interest matters; confirm rules and appeal rights; coordinate with exhaustion doctrine (#6).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Tribal counsel + RIVR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5. Federal court jurisdiction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Availability of a federal forum; diversity/federal-question basis is uncertain for tribal commercial disputes.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OPEN. Do not assume federal jurisdiction exists; if desired, draft an express consent tied to a limited immunity waiver.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Both parties'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6. Arbitration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Binding arbitration as a neutral mechanism; seat, rules, and enforceability against a sovereign.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FAA / applicable arbitration law;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Recommend binding arbitration (e.g., AAA commercial) with a defined seat and limited immunity waiver for the purpose of compelling arbitration and enforcing awards; carve out injunctive/step-in relief.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Both parties'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7. Exhaustion of Tribal remedies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Doctrine may require exhaustion in Tribal court before other fora, affecting speed/cost of enforcement.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OPEN. Address expressly — either require exhaustion or waive/limit it in the dispute clause to avoid uncertainty.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Tribal counsel + RIVR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8. Federal grant restrictions (general)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Award terms constrain use, transfer, and operation of grant assets; IRU/operating structure must fit within them.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Part 200 (Uniform Administrative Requirements, Cost Principles, and Audit Requirements for Federal Awards); NTIA Standard Terms and Conditions and Specific Award Conditions;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Map every commercial term against award terms; add a grant-compliance supremacy clause so federal terms control on conflict.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Grant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9. Program income (2 CFR 200.307)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Revenue from operating grant-funded assets may be Program Income subject to federal use rules (deduction/addition/cost-sharing methods).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200.307 (Program income);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Determine method with NTIA; structure revenue-share so Lumbee Tribe can meet Program Income obligations; document treatment in the financial schedule.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Grant counsel + Finance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10. Contractor vs subrecipient status (2 CFR 200.331)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Whether RIVR Tech is a contractor or a subrecipient — drives flow-down, audit, and compliance burden.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200.331 (Subrecipient and contractor determinations); 2 CFR 200.332 (Requirements for pass-through entities);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OPEN — perform the 200.331 checklist analysis; do not assume. Likely contractor for operations, but confirm; set flow-downs accordingly.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Grant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11. Procurement compliance (2 CFR 200.317–.327)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Selection of RIVR Tech and downstream purchases must satisfy federal procurement standards (competition, methods, domestic preference).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200.317–200.327 (Procurement standards); 2 CFR 200.319 (Competition);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Document the procurement basis (competition or sole-source justification) for RIVR Tech selection; require compliant subprocurement.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Grant counsel + Lumbee Tribe procurement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12. Impermissible private benefit from grant assets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Risk that a private operator derives disproportionate benefit from publicly funded assets, jeopardizing the award.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Part 200 (Uniform Administrative Requirements, Cost Principles, and Audit Requirements for Federal Awards);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Ensure consideration to the Lumbee Tribe is fair and documented; benchmark IRU and revenue-share terms; retain public-purpose protections and reversion.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Grant counsel + Finance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13. Asset encumbrance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Federal interest restricts liens/encumbrances on grant assets; lenders or the IRU itself may be viewed as encumbrances.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200.311 (Real property — use, encumbrance, and disposition); 2 CFR 200.316 (Property trust relationship);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Obtain NTIA position on whether the IRU is a permissible use vs. encumbrance; avoid liens on Tribal Assets; use RIVR assets for security.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Grant counsel + Tribal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14. Federal interest (2 CFR 200.316)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Property trust relationship — federal interest persists through the useful life / disposition.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200.316 (Property trust relationship);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Acknowledge federal interest in all conveyancing docs; align IRU term and disposition with federal-interest period.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Grant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15. BIA or other federal approval questions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Whether BIA/land-status or other federal approvals are triggered by the transaction or the underlying land.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25 U.S.C./25 CFR (BIA) as applicable;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OPEN — confirm land status and whether any BIA approval or right-of-way consent is required; may be N/A if no trust land involved.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Tribal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16. Easements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Rights to place/maintain fiber across public and private parcels; durability across the IRU term.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N.C. Gen. Stat. § 62-350 (broadband attachment to utility poles);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Secure recordable easements of sufficient duration; confirm assignability and survival on default/transition.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Real-estate counsel + RIVR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17. Rights-of-way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DOT/municipal/utility ROW and pole-attachment access; permitting risk.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N.C. Gen. Stat. § 62-350 (broadband attachment to utility poles); N.C. Gen. Stat. Ch. 87, Art. 8A (Underground Utility Safety and Damage Prevention Act / 811 locates);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Confirm ROW/permitting path and pole-attachment agreements; allocate permitting risk and cost in the construction schedule.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Real-estate counsel + RIVR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18. Tax treatment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Property, sales/use, and income tax treatment of Tribal-owned assets and IRU consideration; possible exemptions.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OPEN — obtain tax analysis on Tribal ownership exemptions, IRU characterization, and any UBIT-type exposure for Tribal enterprises.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Tax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19. Regulatory authority (FCC / USAC / ETC)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Which entity holds regulatory authorizations, ETC designation, and USAC/USF obligations; CPNI compliance.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47 CFR Part 54 (USAC/FCC universal service, Lifeline, and ETC requirements); 47 U.S.C. § 222 and 47 CFR §§ 64.2001–64.2011 (Customer Proprietary Network Information);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Clarify that RIVR Tech (operator) holds the carrier authorizations and ETC status; assign CPNI compliance; document in the privacy agreement.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Regulatory counsel + RIVR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20. Customer ownership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Who owns the customer relationship, contracts, and data on default or transition — critical for continuity and value.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47 U.S.C. § 222 and 47 CFR §§ 64.2001–64.2011 (Customer Proprietary Network Information); </w:t>
            </w:r>
            <w:r>
              <w:rPr>
                <w:b/>
                <w:i w:val="0"/>
                <w:color w:val="C00000"/>
                <w:sz w:val="16"/>
              </w:rPr>
              <w:t>[BUSINESS DECISION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Recommend Lumbee Tribe holds a reversionary/step-in right to customer relationships tied to the Tribal Assets; RIVR operates during the term.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Both parties + business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21. Rate-setting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Who sets retail rates and affordability commitments (100/20 affordable offering); limits on price increases.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TBCP Round 3 Notice of Funding Opportunity (NTIA, June 2026); </w:t>
            </w:r>
            <w:r>
              <w:rPr>
                <w:b/>
                <w:i w:val="0"/>
                <w:color w:val="C00000"/>
                <w:sz w:val="16"/>
              </w:rPr>
              <w:t>[BUSINESS DECISION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Set affordability floor per award; give Lumbee Tribe consultation/consent on material rate changes; document in financial + O&amp;M schedules.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Business + Grant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22. Assignment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Ability of either party to assign; protecting the Lumbee Tribe from unwanted successors to the operator role.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Prohibit assignment without Tribal consent (not unreasonably withheld); permit collateral assignment to lenders with recognition/cure rights.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Both parties'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23. Change in control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Change of control of RIVR Tech/parent as a consent or termination trigger.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Treat change of control as a consent event with Tribal approval and vetting; define control threshold.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Both parties'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24. Default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Definitions, cure periods, and cross-default across the agreement suite.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See DEAL cure periods (30/60 days);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Use consistent monetary (30-day) / non-monetary (60-day + extension) cure periods; cross-default within the transaction suite only.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Both parties' counsel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25. Step-in rights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Lumbee Tribe's ability to step in / appoint a replacement operator to preserve service and award compliance.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200.339–200.343 (Remedies for noncompliance; termination);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Grant Lumbee Tribe emergency step-in for essential-service/award-compliance threats; define scope, duration, and cost allocation.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Tribal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26. Grant clawback exposure</w:t>
            </w:r>
          </w:p>
        </w:tc>
        <w:tc>
          <w:tcPr>
            <w:tcW w:type="dxa" w:w="273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Risk NTIA recovers funds for noncompliance, disposition, or underperformance — who bears the loss.</w:t>
            </w:r>
          </w:p>
        </w:tc>
        <w:tc>
          <w:tcPr>
            <w:tcW w:type="dxa" w:w="16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200.339–200.343 (Remedies for noncompliance; termination); 2 CFR 200.311 (Real property — use, encumbrance, and disposition); </w:t>
            </w:r>
            <w:r>
              <w:rPr>
                <w:b/>
                <w:i w:val="0"/>
                <w:color w:val="7F007F"/>
                <w:sz w:val="16"/>
              </w:rPr>
              <w:t>[GRANT COMPLIANCE REVIEW REQUIRED]</w:t>
            </w:r>
          </w:p>
        </w:tc>
        <w:tc>
          <w:tcPr>
            <w:tcW w:type="dxa" w:w="266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Allocate clawback risk by fault; require RIVR indemnity for operator-caused noncompliance; maintain compliance reserves.</w:t>
            </w:r>
          </w:p>
        </w:tc>
        <w:tc>
          <w:tcPr>
            <w:tcW w:type="dxa" w:w="1368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16"/>
              </w:rPr>
              <w:t>Grant counsel + Finance</w:t>
            </w:r>
          </w:p>
        </w:tc>
        <w:tc>
          <w:tcPr>
            <w:tcW w:type="dxa" w:w="50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H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>27. Transition obligations</w:t>
            </w:r>
          </w:p>
        </w:tc>
        <w:tc>
          <w:tcPr>
            <w:tcW w:type="dxa" w:w="2736"/>
            <w:vAlign w:val="center"/>
          </w:tcPr>
          <w:p>
            <w:r>
              <w:rPr>
                <w:b w:val="0"/>
                <w:i w:val="0"/>
                <w:sz w:val="16"/>
              </w:rPr>
              <w:t>End-of-term / termination handover of assets, records, customers, and operations without service disruption.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i w:val="0"/>
                <w:sz w:val="16"/>
              </w:rPr>
              <w:t xml:space="preserve">2 CFR 200.344 (Closeout) and 2 CFR 200.345 (Post-closeout adjustments and continuing responsibilities); </w:t>
            </w:r>
            <w:r>
              <w:rPr>
                <w:b/>
                <w:i w:val="0"/>
                <w:color w:val="0000C0"/>
                <w:sz w:val="16"/>
              </w:rPr>
              <w:t>[ATTORNEY REVIEW REQUIRED]</w:t>
            </w:r>
          </w:p>
        </w:tc>
        <w:tc>
          <w:tcPr>
            <w:tcW w:type="dxa" w:w="2664"/>
            <w:vAlign w:val="center"/>
          </w:tcPr>
          <w:p>
            <w:r>
              <w:rPr>
                <w:b w:val="0"/>
                <w:i w:val="0"/>
                <w:sz w:val="16"/>
              </w:rPr>
              <w:t>Require a 12-month transition-assistance period, records/customer handover, and continued service at defined pricing; tie to transition agreement.</w:t>
            </w:r>
          </w:p>
        </w:tc>
        <w:tc>
          <w:tcPr>
            <w:tcW w:type="dxa" w:w="1368"/>
            <w:vAlign w:val="center"/>
          </w:tcPr>
          <w:p>
            <w:r>
              <w:rPr>
                <w:b w:val="0"/>
                <w:i w:val="0"/>
                <w:sz w:val="16"/>
              </w:rPr>
              <w:t>Both parties' counsel</w:t>
            </w:r>
          </w:p>
        </w:tc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Draft v0.1 | July 16,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Attorney Review Issue List  —  DRAFT FOR DISCUSSION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