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95959"/>
          <w:sz w:val="22"/>
        </w:rPr>
        <w:t>LREMC Technologies, LLC d/b/a RIVR Tech</w:t>
      </w:r>
    </w:p>
    <w:p>
      <w:r>
        <w:rPr>
          <w:b/>
          <w:color w:val="1F3864"/>
          <w:sz w:val="48"/>
        </w:rPr>
        <w:t>Executive Implementation Plan</w:t>
      </w:r>
    </w:p>
    <w:p>
      <w:r>
        <w:rPr>
          <w:color w:val="2E5496"/>
          <w:sz w:val="26"/>
        </w:rPr>
        <w:t>Lifeline &amp; Lumbee Broadband Affordability Initiative</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t>01 of 13</w:t>
            </w:r>
          </w:p>
        </w:tc>
      </w:tr>
      <w:tr>
        <w:tc>
          <w:tcPr>
            <w:tcW w:type="dxa" w:w="4320"/>
          </w:tcPr>
          <w:p>
            <w:r>
              <w:rPr>
                <w:b/>
              </w:rPr>
              <w:t>Document owner</w:t>
            </w:r>
          </w:p>
        </w:tc>
        <w:tc>
          <w:tcPr>
            <w:tcW w:type="dxa" w:w="4320"/>
          </w:tcPr>
          <w:p>
            <w:r>
              <w:t>Program Owner (with Executive Sponsor)</w:t>
            </w:r>
          </w:p>
        </w:tc>
      </w:tr>
      <w:tr>
        <w:tc>
          <w:tcPr>
            <w:tcW w:type="dxa" w:w="4320"/>
          </w:tcPr>
          <w:p>
            <w:r>
              <w:rPr>
                <w:b/>
              </w:rPr>
              <w:t>Approval / sign-off</w:t>
            </w:r>
          </w:p>
        </w:tc>
        <w:tc>
          <w:tcPr>
            <w:tcW w:type="dxa" w:w="4320"/>
          </w:tcPr>
          <w:p>
            <w:r>
              <w:t>________________________  (name / title / date)</w:t>
            </w:r>
          </w:p>
        </w:tc>
      </w:tr>
      <w:tr>
        <w:tc>
          <w:tcPr>
            <w:tcW w:type="dxa" w:w="4320"/>
          </w:tcPr>
          <w:p>
            <w:r>
              <w:rPr>
                <w:b/>
              </w:rPr>
              <w:t>Version</w:t>
            </w:r>
          </w:p>
        </w:tc>
        <w:tc>
          <w:tcPr>
            <w:tcW w:type="dxa" w:w="4320"/>
          </w:tcPr>
          <w:p>
            <w:r>
              <w:t>v0.1 — DRAFT (Phase 0: ETC application pending)</w:t>
            </w:r>
          </w:p>
        </w:tc>
      </w:tr>
      <w:tr>
        <w:tc>
          <w:tcPr>
            <w:tcW w:type="dxa" w:w="4320"/>
          </w:tcPr>
          <w:p>
            <w:r>
              <w:rPr>
                <w:b/>
              </w:rPr>
              <w:t>Status</w:t>
            </w:r>
          </w:p>
        </w:tc>
        <w:tc>
          <w:tcPr>
            <w:tcW w:type="dxa" w:w="4320"/>
          </w:tcPr>
          <w:p>
            <w:r>
              <w:t>PRE-DECISION build artifact. Figures are illustrative/placeholder pending confirmation.</w:t>
            </w:r>
          </w:p>
        </w:tc>
      </w:tr>
      <w:tr>
        <w:tc>
          <w:tcPr>
            <w:tcW w:type="dxa" w:w="4320"/>
          </w:tcPr>
          <w:p>
            <w:r>
              <w:rPr>
                <w:b/>
              </w:rPr>
              <w:t>Source basis</w:t>
            </w:r>
          </w:p>
        </w:tc>
        <w:tc>
          <w:tcPr>
            <w:tcW w:type="dxa" w:w="4320"/>
          </w:tcPr>
          <w:p>
            <w:r>
              <w:t>See 00_Regulatory_Source_Register.md (item refs 'SR-x.y').</w:t>
            </w:r>
          </w:p>
        </w:tc>
      </w:tr>
    </w:tbl>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Do NOT launch, market RIVR Tech as an approved Lifeline provider, or claim reimbursement until the final NCUC ETC designation order is issued and USAC onboarding is complete. All prices and volumes in this plan are illustrative placeholders pending confirmation.</w:t>
            </w:r>
          </w:p>
        </w:tc>
      </w:tr>
    </w:tbl>
    <w:p>
      <w:r>
        <w:br w:type="page"/>
      </w:r>
    </w:p>
    <w:p>
      <w:pPr>
        <w:pStyle w:val="Heading1"/>
      </w:pPr>
      <w:r>
        <w:t>Table of Contents</w:t>
      </w:r>
    </w:p>
    <w:p>
      <w:r/>
      <w:fldSimple w:instr="TOC \o &quot;1-3&quot; \h \z \u">
        <w:r>
          <w:t>Right-click and 'Update Field' to build the table of contents.</w:t>
        </w:r>
      </w:fldSimple>
    </w:p>
    <w:p>
      <w:r>
        <w:br w:type="page"/>
      </w:r>
    </w:p>
    <w:p>
      <w:pPr>
        <w:pStyle w:val="Heading1"/>
      </w:pPr>
      <w:r>
        <w:t>1. Executive summary</w:t>
      </w:r>
    </w:p>
    <w:p>
      <w:r>
        <w:rPr>
          <w:b w:val="0"/>
          <w:i w:val="0"/>
          <w:sz w:val="21"/>
        </w:rPr>
        <w:t>RIVR Tech (LREMC Technologies, LLC) has applied to the North Carolina Utilities Commission (NCUC) for designation as an Eligible Telecommunications Carrier (ETC). Upon approval, RIVR Tech intends to (a) apply the federal Lifeline discount to eligible customers on its existing fiber internet plans, (b) launch a new symmetrical 100/100 Mbps Senior Internet Plan targeting a $10 monthly customer payment, and (c) coordinate a broadband affordability initiative with the newly federally-recognized Lumbee Tribe of North Carolina.</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THE SINGLE MOST IMPORTANT COMPLIANCE POINT: Lumbee tribal membership and residence in Robeson, Hoke, Scotland, or Cumberland County do NOT, by themselves, qualify a customer for the enhanced $34.25 Tribal Lifeline benefit. Enhanced support requires the customer's PRINCIPAL RESIDENCE to be on qualifying 'Tribal lands' as defined in 47 C.F.R. §54.400(e), verified per-address via USAC's Tribal Lands Verification Tool. The Lumbee currently have no reservation, no land in trust, and no FCC §54.412 designation — so the working assumption is ZERO enhanced-Tribal-eligible addresses until a written USAC/legal determination confirms otherwise (SR-4, SR-5).</w:t>
            </w:r>
          </w:p>
        </w:tc>
      </w:tr>
    </w:tbl>
    <w:p>
      <w:r>
        <w:rPr>
          <w:b/>
          <w:i w:val="0"/>
          <w:sz w:val="21"/>
        </w:rPr>
        <w:t>Key recommendations (each an executive decision in §11):</w:t>
      </w:r>
    </w:p>
    <w:p>
      <w:pPr>
        <w:pStyle w:val="ListBullet"/>
      </w:pPr>
      <w:r>
        <w:t>Adopt the blended 'Alternative D' subsidy design: apply Lifeline first, then a defined RIVR/Tribe top-up so every approved participant reaches the $10 net target. $10 is the NET price after subsidies, not the retail list price.</w:t>
      </w:r>
    </w:p>
    <w:p>
      <w:pPr>
        <w:pStyle w:val="ListBullet"/>
      </w:pPr>
      <w:r>
        <w:t>Set the senior age threshold at 62 (balances reach against company-funded exposure).</w:t>
      </w:r>
    </w:p>
    <w:p>
      <w:pPr>
        <w:pStyle w:val="ListBullet"/>
      </w:pPr>
      <w:r>
        <w:t>Keep the enhanced Tribal benefit OFF (0 subscribers) until the written Tribal-lands determination is obtained; never condition it on Lumbee membership.</w:t>
      </w:r>
    </w:p>
    <w:p>
      <w:pPr>
        <w:pStyle w:val="ListBullet"/>
      </w:pPr>
      <w:r>
        <w:t>Fold or waive equipment on the Senior plan to protect the $10 target; keep voice an optional, separately-disclosed add-on (broadband is the Lifeline-supported service).</w:t>
      </w:r>
    </w:p>
    <w:p>
      <w:pPr>
        <w:pStyle w:val="ListBullet"/>
      </w:pPr>
      <w:r>
        <w:t>Obtain a tax opinion before advertising any 'plus tax'; broadband access itself is non-taxable under the Internet Tax Freedom Act.</w:t>
      </w:r>
    </w:p>
    <w:p>
      <w:pPr>
        <w:pStyle w:val="ListBullet"/>
      </w:pPr>
      <w:r>
        <w:t>Keep four funding streams — federal Lifeline, any grant/TBCP funds, RIVR-funded discounts, and Lumbee Tribe contributions — in strictly separate accounting categories.</w:t>
      </w:r>
    </w:p>
    <w:p>
      <w:r>
        <w:rPr>
          <w:b w:val="0"/>
          <w:i/>
          <w:color w:val="595959"/>
          <w:sz w:val="18"/>
        </w:rPr>
        <w:t>This plan is one of 13 deliverables (index in §12). Figures are illustrative placeholders; confirmed RIVR pricing, a tax opinion, and the Tribal-lands legal determination are prerequisites to launch and are tracked in the Open Issues &amp; Legal Decisions Log (Deliverable 13).</w:t>
      </w:r>
    </w:p>
    <w:p>
      <w:pPr>
        <w:pStyle w:val="Heading1"/>
      </w:pPr>
      <w:r>
        <w:t>2. Program objectives &amp; scope</w:t>
      </w:r>
    </w:p>
    <w:p>
      <w:pPr>
        <w:pStyle w:val="ListNumber"/>
      </w:pPr>
      <w:r>
        <w:t>Apply Lifeline discounts to eligible customers on existing RIVR Tech fiber plans.</w:t>
      </w:r>
    </w:p>
    <w:p>
      <w:pPr>
        <w:pStyle w:val="ListNumber"/>
      </w:pPr>
      <w:r>
        <w:t>Serve eligible Lumbee tribal members through a coordinated, privacy-respecting affordability initiative.</w:t>
      </w:r>
    </w:p>
    <w:p>
      <w:pPr>
        <w:pStyle w:val="ListNumber"/>
      </w:pPr>
      <w:r>
        <w:t>Correctly determine standard ($9.25) vs. enhanced Tribal (up to $34.25) benefit eligibility on a per-household, per-address basis.</w:t>
      </w:r>
    </w:p>
    <w:p>
      <w:pPr>
        <w:pStyle w:val="ListNumber"/>
      </w:pPr>
      <w:r>
        <w:t>Launch a symmetrical 100/100 Mbps Senior Internet Plan at a $10 net customer payment (plus only legally-applicable, tax-advisor-confirmed taxes/fees).</w:t>
      </w:r>
    </w:p>
    <w:p>
      <w:pPr>
        <w:pStyle w:val="ListNumber"/>
      </w:pPr>
      <w:r>
        <w:t>Stand up all operational, compliance, billing, financial, technology, training, reporting, and communications capabilities required to run the program after ETC approval.</w:t>
      </w:r>
    </w:p>
    <w:p>
      <w:pPr>
        <w:pStyle w:val="Heading1"/>
      </w:pPr>
      <w:r>
        <w:t>3. Critical compliance distinctions — four separate tests</w:t>
      </w:r>
    </w:p>
    <w:p>
      <w:r>
        <w:rPr>
          <w:b w:val="0"/>
          <w:i w:val="0"/>
          <w:sz w:val="21"/>
        </w:rPr>
        <w:t>The program is built on four independent tests. Confusing them is the primary compliance risk.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2E5496"/>
          </w:tcPr>
          <w:p>
            <w:r>
              <w:rPr>
                <w:b/>
                <w:color w:val="FFFFFF"/>
                <w:sz w:val="18"/>
              </w:rPr>
              <w:t>Test</w:t>
            </w:r>
          </w:p>
        </w:tc>
        <w:tc>
          <w:tcPr>
            <w:tcW w:type="dxa" w:w="3168"/>
            <w:shd w:val="clear" w:fill="2E5496"/>
          </w:tcPr>
          <w:p>
            <w:r>
              <w:rPr>
                <w:b/>
                <w:color w:val="FFFFFF"/>
                <w:sz w:val="18"/>
              </w:rPr>
              <w:t>What it establishes</w:t>
            </w:r>
          </w:p>
        </w:tc>
        <w:tc>
          <w:tcPr>
            <w:tcW w:type="dxa" w:w="2880"/>
            <w:shd w:val="clear" w:fill="2E5496"/>
          </w:tcPr>
          <w:p>
            <w:r>
              <w:rPr>
                <w:b/>
                <w:color w:val="FFFFFF"/>
                <w:sz w:val="18"/>
              </w:rPr>
              <w:t>How verified</w:t>
            </w:r>
          </w:p>
        </w:tc>
        <w:tc>
          <w:tcPr>
            <w:tcW w:type="dxa" w:w="3024"/>
            <w:shd w:val="clear" w:fill="2E5496"/>
          </w:tcPr>
          <w:p>
            <w:r>
              <w:rPr>
                <w:b/>
                <w:color w:val="FFFFFF"/>
                <w:sz w:val="18"/>
              </w:rPr>
              <w:t>What it does NOT establish</w:t>
            </w:r>
          </w:p>
        </w:tc>
      </w:tr>
      <w:tr>
        <w:tc>
          <w:tcPr>
            <w:tcW w:type="dxa" w:w="2160"/>
          </w:tcPr>
          <w:p>
            <w:r>
              <w:rPr>
                <w:sz w:val="17"/>
              </w:rPr>
              <w:t>1. Standard Lifeline eligibility</w:t>
            </w:r>
          </w:p>
        </w:tc>
        <w:tc>
          <w:tcPr>
            <w:tcW w:type="dxa" w:w="3168"/>
          </w:tcPr>
          <w:p>
            <w:r>
              <w:rPr>
                <w:sz w:val="17"/>
              </w:rPr>
              <w:t>Household qualifies for up to $9.25/mo (income ≤135% FPG or a qualifying program)</w:t>
            </w:r>
          </w:p>
        </w:tc>
        <w:tc>
          <w:tcPr>
            <w:tcW w:type="dxa" w:w="2880"/>
          </w:tcPr>
          <w:p>
            <w:r>
              <w:rPr>
                <w:sz w:val="17"/>
              </w:rPr>
              <w:t>USAC National Verifier approval BEFORE enrollment (SR-1, SR-3.1)</w:t>
            </w:r>
          </w:p>
        </w:tc>
        <w:tc>
          <w:tcPr>
            <w:tcW w:type="dxa" w:w="3024"/>
          </w:tcPr>
          <w:p>
            <w:r>
              <w:rPr>
                <w:sz w:val="17"/>
              </w:rPr>
              <w:t>Does not establish Tribal-lands or senior status</w:t>
            </w:r>
          </w:p>
        </w:tc>
      </w:tr>
      <w:tr>
        <w:tc>
          <w:tcPr>
            <w:tcW w:type="dxa" w:w="2160"/>
          </w:tcPr>
          <w:p>
            <w:r>
              <w:rPr>
                <w:sz w:val="17"/>
              </w:rPr>
              <w:t>2. Enhanced Tribal eligibility</w:t>
            </w:r>
          </w:p>
        </w:tc>
        <w:tc>
          <w:tcPr>
            <w:tcW w:type="dxa" w:w="3168"/>
          </w:tcPr>
          <w:p>
            <w:r>
              <w:rPr>
                <w:sz w:val="17"/>
              </w:rPr>
              <w:t>Principal residence is ON qualifying Tribal lands → additional up to $25 ($34.25 total)</w:t>
            </w:r>
          </w:p>
        </w:tc>
        <w:tc>
          <w:tcPr>
            <w:tcW w:type="dxa" w:w="2880"/>
          </w:tcPr>
          <w:p>
            <w:r>
              <w:rPr>
                <w:sz w:val="17"/>
              </w:rPr>
              <w:t>USAC Tribal Lands Verification Tool on the address (SR-4)</w:t>
            </w:r>
          </w:p>
        </w:tc>
        <w:tc>
          <w:tcPr>
            <w:tcW w:type="dxa" w:w="3024"/>
          </w:tcPr>
          <w:p>
            <w:r>
              <w:rPr>
                <w:sz w:val="17"/>
              </w:rPr>
              <w:t>Is NOT established by tribal membership or county of residence</w:t>
            </w:r>
          </w:p>
        </w:tc>
      </w:tr>
      <w:tr>
        <w:tc>
          <w:tcPr>
            <w:tcW w:type="dxa" w:w="2160"/>
          </w:tcPr>
          <w:p>
            <w:r>
              <w:rPr>
                <w:sz w:val="17"/>
              </w:rPr>
              <w:t>3. Lumbee tribal membership</w:t>
            </w:r>
          </w:p>
        </w:tc>
        <w:tc>
          <w:tcPr>
            <w:tcW w:type="dxa" w:w="3168"/>
          </w:tcPr>
          <w:p>
            <w:r>
              <w:rPr>
                <w:sz w:val="17"/>
              </w:rPr>
              <w:t>May support outreach or a Tribe-funded benefit only</w:t>
            </w:r>
          </w:p>
        </w:tc>
        <w:tc>
          <w:tcPr>
            <w:tcW w:type="dxa" w:w="2880"/>
          </w:tcPr>
          <w:p>
            <w:r>
              <w:rPr>
                <w:sz w:val="17"/>
              </w:rPr>
              <w:t>Tribe-run, privacy-preserving verification (no roll transfer)</w:t>
            </w:r>
          </w:p>
        </w:tc>
        <w:tc>
          <w:tcPr>
            <w:tcW w:type="dxa" w:w="3024"/>
          </w:tcPr>
          <w:p>
            <w:r>
              <w:rPr>
                <w:sz w:val="17"/>
              </w:rPr>
              <w:t>Is NOT a substitute for National Verifier approval or Tribal-lands verification (SR-5)</w:t>
            </w:r>
          </w:p>
        </w:tc>
      </w:tr>
      <w:tr>
        <w:tc>
          <w:tcPr>
            <w:tcW w:type="dxa" w:w="2160"/>
          </w:tcPr>
          <w:p>
            <w:r>
              <w:rPr>
                <w:sz w:val="17"/>
              </w:rPr>
              <w:t>4. Senior status</w:t>
            </w:r>
          </w:p>
        </w:tc>
        <w:tc>
          <w:tcPr>
            <w:tcW w:type="dxa" w:w="3168"/>
          </w:tcPr>
          <w:p>
            <w:r>
              <w:rPr>
                <w:sz w:val="17"/>
              </w:rPr>
              <w:t>Eligibility for the $10 Senior plan design</w:t>
            </w:r>
          </w:p>
        </w:tc>
        <w:tc>
          <w:tcPr>
            <w:tcW w:type="dxa" w:w="2880"/>
          </w:tcPr>
          <w:p>
            <w:r>
              <w:rPr>
                <w:sz w:val="17"/>
              </w:rPr>
              <w:t>Age ≥ threshold (recommend 62)</w:t>
            </w:r>
          </w:p>
        </w:tc>
        <w:tc>
          <w:tcPr>
            <w:tcW w:type="dxa" w:w="3024"/>
          </w:tcPr>
          <w:p>
            <w:r>
              <w:rPr>
                <w:sz w:val="17"/>
              </w:rPr>
              <w:t>Age ALONE does not establish Lifeline eligibility</w:t>
            </w:r>
          </w:p>
        </w:tc>
      </w:tr>
    </w:tbl>
    <w:p>
      <w:pPr>
        <w:pStyle w:val="Heading2"/>
      </w:pPr>
      <w:r>
        <w:t>3.1 Why the Lumbee case requires special care</w:t>
      </w:r>
    </w:p>
    <w:p>
      <w:r>
        <w:rPr>
          <w:b w:val="0"/>
          <w:i w:val="0"/>
          <w:sz w:val="21"/>
        </w:rPr>
        <w:t>The Lumbee Tribe received full federal recognition via Public Law 119-60 (§8803 of the NDAA for FY2026, signed December 18, 2025) and was added to the DOI list in January 2026 (SR-5.1–5.2). That law extends recognition and federal services and designates a four-county service delivery area, and it AUTHORIZES a future land-into-trust process — but it does not itself create a reservation or place any land in trust (SR-5.3–5.4). Under 47 C.F.R. §54.400(e), off-reservation land becomes Lifeline 'Tribal lands' only through an FCC §54.412 designation made on the Tribe's request (SR-4.3). None of a reservation, trust land, or §54.412 designation exists today, so no Lumbee address is presumptively Tribal lands (SR-5.5).</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Action: obtain a written USAC and/or outside-counsel determination on whether any Lumbee service-area, trust, or dependent-community land satisfies §54.400(e) or has a §54.412 designation, and confirm none is pending. Until then, model and operate with zero enhanced-Tribal subscribers.</w:t>
            </w:r>
          </w:p>
        </w:tc>
      </w:tr>
    </w:tbl>
    <w:p>
      <w:pPr>
        <w:pStyle w:val="Heading1"/>
      </w:pPr>
      <w:r>
        <w:t>4. Current-state snapshot (RIVR Tech)</w:t>
      </w:r>
    </w:p>
    <w:p>
      <w:r>
        <w:rPr>
          <w:b w:val="0"/>
          <w:i w:val="0"/>
          <w:sz w:val="21"/>
        </w:rPr>
        <w:t>Confirmed vs. to-obtain (full inventory in Deliverable 02).</w:t>
      </w:r>
    </w:p>
    <w:tbl>
      <w:tblPr>
        <w:tblStyle w:val="TableGrid"/>
        <w:tblW w:type="auto" w:w="0"/>
        <w:jc w:val="center"/>
        <w:tblLook w:firstColumn="1" w:firstRow="1" w:lastColumn="0" w:lastRow="0" w:noHBand="0" w:noVBand="1" w:val="04A0"/>
      </w:tblPr>
      <w:tblGrid>
        <w:gridCol w:w="4320"/>
        <w:gridCol w:w="4320"/>
      </w:tblGrid>
      <w:tr>
        <w:tc>
          <w:tcPr>
            <w:tcW w:type="dxa" w:w="3312"/>
            <w:shd w:val="clear" w:fill="2E5496"/>
          </w:tcPr>
          <w:p>
            <w:r>
              <w:rPr>
                <w:b/>
                <w:color w:val="FFFFFF"/>
                <w:sz w:val="18"/>
              </w:rPr>
              <w:t>Item</w:t>
            </w:r>
          </w:p>
        </w:tc>
        <w:tc>
          <w:tcPr>
            <w:tcW w:type="dxa" w:w="7200"/>
            <w:shd w:val="clear" w:fill="2E5496"/>
          </w:tcPr>
          <w:p>
            <w:r>
              <w:rPr>
                <w:b/>
                <w:color w:val="FFFFFF"/>
                <w:sz w:val="18"/>
              </w:rPr>
              <w:t>Status</w:t>
            </w:r>
          </w:p>
        </w:tc>
      </w:tr>
      <w:tr>
        <w:tc>
          <w:tcPr>
            <w:tcW w:type="dxa" w:w="3312"/>
          </w:tcPr>
          <w:p>
            <w:r>
              <w:rPr>
                <w:sz w:val="17"/>
              </w:rPr>
              <w:t>Fiber lineup (symmetrical)</w:t>
            </w:r>
          </w:p>
        </w:tc>
        <w:tc>
          <w:tcPr>
            <w:tcW w:type="dxa" w:w="7200"/>
          </w:tcPr>
          <w:p>
            <w:r>
              <w:rPr>
                <w:sz w:val="17"/>
              </w:rPr>
              <w:t>CONFIRMED: 250/250 (entry) → 500/500 → 1 Gig; unlimited data (SR-8.2)</w:t>
            </w:r>
          </w:p>
        </w:tc>
      </w:tr>
      <w:tr>
        <w:tc>
          <w:tcPr>
            <w:tcW w:type="dxa" w:w="3312"/>
          </w:tcPr>
          <w:p>
            <w:r>
              <w:rPr>
                <w:sz w:val="17"/>
              </w:rPr>
              <w:t>Proposed Senior plan</w:t>
            </w:r>
          </w:p>
        </w:tc>
        <w:tc>
          <w:tcPr>
            <w:tcW w:type="dxa" w:w="7200"/>
          </w:tcPr>
          <w:p>
            <w:r>
              <w:rPr>
                <w:sz w:val="17"/>
              </w:rPr>
              <w:t>NEW 100/100 tier BELOW the 250 entry tier — exceeds Lifeline's 25/3 &amp; 1,280 GB minimums (SR-2, SR-8.3)</w:t>
            </w:r>
          </w:p>
        </w:tc>
      </w:tr>
      <w:tr>
        <w:tc>
          <w:tcPr>
            <w:tcW w:type="dxa" w:w="3312"/>
          </w:tcPr>
          <w:p>
            <w:r>
              <w:rPr>
                <w:sz w:val="17"/>
              </w:rPr>
              <w:t>Monthly plan prices</w:t>
            </w:r>
          </w:p>
        </w:tc>
        <w:tc>
          <w:tcPr>
            <w:tcW w:type="dxa" w:w="7200"/>
          </w:tcPr>
          <w:p>
            <w:r>
              <w:rPr>
                <w:sz w:val="17"/>
              </w:rPr>
              <w:t>NOT PUBLISHED — obtain confirmed price sheet from RIVR (SR-8.6)</w:t>
            </w:r>
          </w:p>
        </w:tc>
      </w:tr>
      <w:tr>
        <w:tc>
          <w:tcPr>
            <w:tcW w:type="dxa" w:w="3312"/>
          </w:tcPr>
          <w:p>
            <w:r>
              <w:rPr>
                <w:sz w:val="17"/>
              </w:rPr>
              <w:t>Equipment</w:t>
            </w:r>
          </w:p>
        </w:tc>
        <w:tc>
          <w:tcPr>
            <w:tcW w:type="dxa" w:w="7200"/>
          </w:tcPr>
          <w:p>
            <w:r>
              <w:rPr>
                <w:sz w:val="17"/>
              </w:rPr>
              <w:t>Indoor Wi-Fi 6 router $5/mo; outdoor mesh $10/mo; install advertised free — CONFIRM &amp; resolve 'free vs $5' conflict (SR-8.4)</w:t>
            </w:r>
          </w:p>
        </w:tc>
      </w:tr>
      <w:tr>
        <w:tc>
          <w:tcPr>
            <w:tcW w:type="dxa" w:w="3312"/>
          </w:tcPr>
          <w:p>
            <w:r>
              <w:rPr>
                <w:sz w:val="17"/>
              </w:rPr>
              <w:t>Voice</w:t>
            </w:r>
          </w:p>
        </w:tc>
        <w:tc>
          <w:tcPr>
            <w:tcW w:type="dxa" w:w="7200"/>
          </w:tcPr>
          <w:p>
            <w:r>
              <w:rPr>
                <w:sz w:val="17"/>
              </w:rPr>
              <w:t>Unlimited calling; price not published — obtain (SR-8.5)</w:t>
            </w:r>
          </w:p>
        </w:tc>
      </w:tr>
      <w:tr>
        <w:tc>
          <w:tcPr>
            <w:tcW w:type="dxa" w:w="3312"/>
          </w:tcPr>
          <w:p>
            <w:r>
              <w:rPr>
                <w:sz w:val="17"/>
              </w:rPr>
              <w:t>NCUC ETC docket</w:t>
            </w:r>
          </w:p>
        </w:tc>
        <w:tc>
          <w:tcPr>
            <w:tcW w:type="dxa" w:w="7200"/>
          </w:tcPr>
          <w:p>
            <w:r>
              <w:rPr>
                <w:sz w:val="17"/>
              </w:rPr>
              <w:t>Not found via public search — CONFIRM docket/status with NCUC (SR-7.3)</w:t>
            </w:r>
          </w:p>
        </w:tc>
      </w:tr>
      <w:tr>
        <w:tc>
          <w:tcPr>
            <w:tcW w:type="dxa" w:w="3312"/>
          </w:tcPr>
          <w:p>
            <w:r>
              <w:rPr>
                <w:sz w:val="17"/>
              </w:rPr>
              <w:t>ETC order</w:t>
            </w:r>
          </w:p>
        </w:tc>
        <w:tc>
          <w:tcPr>
            <w:tcW w:type="dxa" w:w="7200"/>
          </w:tcPr>
          <w:p>
            <w:r>
              <w:rPr>
                <w:sz w:val="17"/>
              </w:rPr>
              <w:t>PENDING — prerequisite to launch (SR-7.4)</w:t>
            </w:r>
          </w:p>
        </w:tc>
      </w:tr>
    </w:tbl>
    <w:p>
      <w:pPr>
        <w:pStyle w:val="Heading1"/>
      </w:pPr>
      <w:r>
        <w:t>5. Senior 100/100 plan &amp; subsidy alternatives</w:t>
      </w:r>
    </w:p>
    <w:p>
      <w:r>
        <w:rPr>
          <w:b w:val="0"/>
          <w:i w:val="0"/>
          <w:sz w:val="21"/>
        </w:rPr>
        <w:t>The plan is a new symmetrical 100/100 Mbps tier (download and upload), unlimited data (meets the 1,280 GB minimum), with premium services (static IP, etc.) excluded. Equipment/managed-Wi-Fi, installation, and optional voice are decided in §11. Four subsidy designs were evaluated: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fill="2E5496"/>
          </w:tcPr>
          <w:p>
            <w:r>
              <w:rPr>
                <w:b/>
                <w:color w:val="FFFFFF"/>
                <w:sz w:val="18"/>
              </w:rPr>
              <w:t>Alt</w:t>
            </w:r>
          </w:p>
        </w:tc>
        <w:tc>
          <w:tcPr>
            <w:tcW w:type="dxa" w:w="4320"/>
            <w:shd w:val="clear" w:fill="2E5496"/>
          </w:tcPr>
          <w:p>
            <w:r>
              <w:rPr>
                <w:b/>
                <w:color w:val="FFFFFF"/>
                <w:sz w:val="18"/>
              </w:rPr>
              <w:t>Design</w:t>
            </w:r>
          </w:p>
        </w:tc>
        <w:tc>
          <w:tcPr>
            <w:tcW w:type="dxa" w:w="1584"/>
            <w:shd w:val="clear" w:fill="2E5496"/>
          </w:tcPr>
          <w:p>
            <w:r>
              <w:rPr>
                <w:b/>
                <w:color w:val="FFFFFF"/>
                <w:sz w:val="18"/>
              </w:rPr>
              <w:t>Compliance risk</w:t>
            </w:r>
          </w:p>
        </w:tc>
        <w:tc>
          <w:tcPr>
            <w:tcW w:type="dxa" w:w="3744"/>
            <w:shd w:val="clear" w:fill="2E5496"/>
          </w:tcPr>
          <w:p>
            <w:r>
              <w:rPr>
                <w:b/>
                <w:color w:val="FFFFFF"/>
                <w:sz w:val="18"/>
              </w:rPr>
              <w:t>Assessment</w:t>
            </w:r>
          </w:p>
        </w:tc>
      </w:tr>
      <w:tr>
        <w:tc>
          <w:tcPr>
            <w:tcW w:type="dxa" w:w="720"/>
          </w:tcPr>
          <w:p>
            <w:r>
              <w:rPr>
                <w:sz w:val="17"/>
              </w:rPr>
              <w:t>A</w:t>
            </w:r>
          </w:p>
        </w:tc>
        <w:tc>
          <w:tcPr>
            <w:tcW w:type="dxa" w:w="4320"/>
          </w:tcPr>
          <w:p>
            <w:r>
              <w:rPr>
                <w:sz w:val="17"/>
              </w:rPr>
              <w:t>Universal $10 retail for all qualifying seniors; RIVR absorbs the gap for non-Lifeline seniors; Lifeline applied where permissible</w:t>
            </w:r>
          </w:p>
        </w:tc>
        <w:tc>
          <w:tcPr>
            <w:tcW w:type="dxa" w:w="1584"/>
          </w:tcPr>
          <w:p>
            <w:r>
              <w:rPr>
                <w:sz w:val="17"/>
              </w:rPr>
              <w:t>Low–Med</w:t>
            </w:r>
          </w:p>
        </w:tc>
        <w:tc>
          <w:tcPr>
            <w:tcW w:type="dxa" w:w="3744"/>
          </w:tcPr>
          <w:p>
            <w:r>
              <w:rPr>
                <w:sz w:val="17"/>
              </w:rPr>
              <w:t>Simple to message; highest company subsidy on non-Lifeline seniors</w:t>
            </w:r>
          </w:p>
        </w:tc>
      </w:tr>
      <w:tr>
        <w:tc>
          <w:tcPr>
            <w:tcW w:type="dxa" w:w="720"/>
          </w:tcPr>
          <w:p>
            <w:r>
              <w:rPr>
                <w:sz w:val="17"/>
              </w:rPr>
              <w:t>B</w:t>
            </w:r>
          </w:p>
        </w:tc>
        <w:tc>
          <w:tcPr>
            <w:tcW w:type="dxa" w:w="4320"/>
          </w:tcPr>
          <w:p>
            <w:r>
              <w:rPr>
                <w:sz w:val="17"/>
              </w:rPr>
              <w:t>Set retail so the bill nets to $10 after the $9.25 standard credit</w:t>
            </w:r>
          </w:p>
        </w:tc>
        <w:tc>
          <w:tcPr>
            <w:tcW w:type="dxa" w:w="1584"/>
          </w:tcPr>
          <w:p>
            <w:r>
              <w:rPr>
                <w:sz w:val="17"/>
              </w:rPr>
              <w:t>Med</w:t>
            </w:r>
          </w:p>
        </w:tc>
        <w:tc>
          <w:tcPr>
            <w:tcW w:type="dxa" w:w="3744"/>
          </w:tcPr>
          <w:p>
            <w:r>
              <w:rPr>
                <w:sz w:val="17"/>
              </w:rPr>
              <w:t>A tribal-lands-qualified sub would net BELOW $10 (over-recovery risk); non-Lifeline seniors pay more</w:t>
            </w:r>
          </w:p>
        </w:tc>
      </w:tr>
      <w:tr>
        <w:tc>
          <w:tcPr>
            <w:tcW w:type="dxa" w:w="720"/>
          </w:tcPr>
          <w:p>
            <w:r>
              <w:rPr>
                <w:sz w:val="17"/>
              </w:rPr>
              <w:t>C</w:t>
            </w:r>
          </w:p>
        </w:tc>
        <w:tc>
          <w:tcPr>
            <w:tcW w:type="dxa" w:w="4320"/>
          </w:tcPr>
          <w:p>
            <w:r>
              <w:rPr>
                <w:sz w:val="17"/>
              </w:rPr>
              <w:t>Set retail so the bill nets to $10 after the $34.25 enhanced credit</w:t>
            </w:r>
          </w:p>
        </w:tc>
        <w:tc>
          <w:tcPr>
            <w:tcW w:type="dxa" w:w="1584"/>
          </w:tcPr>
          <w:p>
            <w:r>
              <w:rPr>
                <w:sz w:val="17"/>
              </w:rPr>
              <w:t>HIGH</w:t>
            </w:r>
          </w:p>
        </w:tc>
        <w:tc>
          <w:tcPr>
            <w:tcW w:type="dxa" w:w="3744"/>
          </w:tcPr>
          <w:p>
            <w:r>
              <w:rPr>
                <w:sz w:val="17"/>
              </w:rPr>
              <w:t>Only works for the (currently zero) Tribal-lands population; mis-signals eligibility; standard-LL seniors stay above $10</w:t>
            </w:r>
          </w:p>
        </w:tc>
      </w:tr>
      <w:tr>
        <w:tc>
          <w:tcPr>
            <w:tcW w:type="dxa" w:w="720"/>
          </w:tcPr>
          <w:p>
            <w:r>
              <w:rPr>
                <w:sz w:val="17"/>
              </w:rPr>
              <w:t>D</w:t>
            </w:r>
          </w:p>
        </w:tc>
        <w:tc>
          <w:tcPr>
            <w:tcW w:type="dxa" w:w="4320"/>
          </w:tcPr>
          <w:p>
            <w:r>
              <w:rPr>
                <w:sz w:val="17"/>
              </w:rPr>
              <w:t>Apply Lifeline first, then a defined RIVR/Tribe top-up so every approved participant reaches $10</w:t>
            </w:r>
          </w:p>
        </w:tc>
        <w:tc>
          <w:tcPr>
            <w:tcW w:type="dxa" w:w="1584"/>
          </w:tcPr>
          <w:p>
            <w:r>
              <w:rPr>
                <w:sz w:val="17"/>
              </w:rPr>
              <w:t>Low</w:t>
            </w:r>
          </w:p>
        </w:tc>
        <w:tc>
          <w:tcPr>
            <w:tcW w:type="dxa" w:w="3744"/>
          </w:tcPr>
          <w:p>
            <w:r>
              <w:rPr>
                <w:sz w:val="17"/>
              </w:rPr>
              <w:t>RECOMMENDED — compliance-clean, protects all cohorts, simplest to administer in NISC</w:t>
            </w:r>
          </w:p>
        </w:tc>
      </w:tr>
    </w:tbl>
    <w:tbl>
      <w:tblPr>
        <w:tblW w:type="auto" w:w="0"/>
        <w:jc w:val="center"/>
        <w:tblLook w:firstColumn="1" w:firstRow="1" w:lastColumn="0" w:lastRow="0" w:noHBand="0" w:noVBand="1" w:val="04A0"/>
      </w:tblPr>
      <w:tblGrid>
        <w:gridCol w:w="8640"/>
      </w:tblGrid>
      <w:tr>
        <w:tc>
          <w:tcPr>
            <w:tcW w:type="dxa" w:w="8640"/>
            <w:shd w:val="clear" w:fill="E2EFDA"/>
          </w:tcPr>
          <w:p>
            <w:r>
              <w:rPr>
                <w:color w:val="376E37"/>
                <w:sz w:val="20"/>
              </w:rPr>
              <w:t>✔ Recommendation: Alternative D. $10 is the NET target after subsidies; the retail list rate is unchanged. Per-subscriber and portfolio economics for all four designs are in Deliverable 06 (Financial Model).</w:t>
            </w:r>
          </w:p>
        </w:tc>
      </w:tr>
    </w:tbl>
    <w:p>
      <w:pPr>
        <w:pStyle w:val="Heading2"/>
      </w:pPr>
      <w:r>
        <w:t>5.1 Plan policy elements to finalize</w:t>
      </w:r>
    </w:p>
    <w:p>
      <w:pPr>
        <w:pStyle w:val="ListBullet"/>
      </w:pPr>
      <w:r>
        <w:t>Equipment &amp; managed-Wi-Fi policy (recommend fold/waive to hold $10; confirm tax).</w:t>
      </w:r>
    </w:p>
    <w:p>
      <w:pPr>
        <w:pStyle w:val="ListBullet"/>
      </w:pPr>
      <w:r>
        <w:t>Installation policy (recommend waive for program).</w:t>
      </w:r>
    </w:p>
    <w:p>
      <w:pPr>
        <w:pStyle w:val="ListBullet"/>
      </w:pPr>
      <w:r>
        <w:t>Static IP &amp; premium-service exclusions (excluded).</w:t>
      </w:r>
    </w:p>
    <w:p>
      <w:pPr>
        <w:pStyle w:val="ListBullet"/>
      </w:pPr>
      <w:r>
        <w:t>Upgrade options (senior may upgrade to 250/500/1 Gig at standard rates, Lifeline credit follows).</w:t>
      </w:r>
    </w:p>
    <w:p>
      <w:pPr>
        <w:pStyle w:val="ListBullet"/>
      </w:pPr>
      <w:r>
        <w:t>Service-call &amp; customer-caused-trouble policy; nonpayment rules; equipment-return requirements.</w:t>
      </w:r>
    </w:p>
    <w:p>
      <w:pPr>
        <w:pStyle w:val="ListBullet"/>
      </w:pPr>
      <w:r>
        <w:t>Transfer/move rules (re-run Tribal-lands check on the new address; update NLAD within 10 business days).</w:t>
      </w:r>
    </w:p>
    <w:p>
      <w:pPr>
        <w:pStyle w:val="ListBullet"/>
      </w:pPr>
      <w:r>
        <w:t>Renewal/recertification; loss-of-Lifeline handling; loss of senior/tribal program status.</w:t>
      </w:r>
    </w:p>
    <w:p>
      <w:pPr>
        <w:pStyle w:val="ListBullet"/>
      </w:pPr>
      <w:r>
        <w:t>Reasonable accommodations &amp; authorized representatives.</w:t>
      </w:r>
    </w:p>
    <w:p>
      <w:pPr>
        <w:pStyle w:val="Heading1"/>
      </w:pPr>
      <w:r>
        <w:t>6. Pricing &amp; subsidy summary</w:t>
      </w:r>
    </w:p>
    <w:p>
      <w:r>
        <w:rPr>
          <w:b w:val="0"/>
          <w:i w:val="0"/>
          <w:sz w:val="21"/>
        </w:rPr>
        <w:t>Illustrative per-subscriber monthly economics (placeholder retail $55.00 for the new Senior tier; confirm from RIVR). Live formulas in Deliverable 06; full matrix in Deliverable 02. All pre-tax — no 'plus tax' until the tax advisor confirms (SR-9.9).</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val="clear" w:fill="2E5496"/>
          </w:tcPr>
          <w:p>
            <w:r>
              <w:rPr>
                <w:b/>
                <w:color w:val="FFFFFF"/>
                <w:sz w:val="18"/>
              </w:rPr>
              <w:t>Scenario</w:t>
            </w:r>
          </w:p>
        </w:tc>
        <w:tc>
          <w:tcPr>
            <w:tcW w:type="dxa" w:w="2304"/>
            <w:shd w:val="clear" w:fill="2E5496"/>
          </w:tcPr>
          <w:p>
            <w:r>
              <w:rPr>
                <w:b/>
                <w:color w:val="FFFFFF"/>
                <w:sz w:val="18"/>
              </w:rPr>
              <w:t>Customer pays (pre-tax)</w:t>
            </w:r>
          </w:p>
        </w:tc>
        <w:tc>
          <w:tcPr>
            <w:tcW w:type="dxa" w:w="1584"/>
            <w:shd w:val="clear" w:fill="2E5496"/>
          </w:tcPr>
          <w:p>
            <w:r>
              <w:rPr>
                <w:b/>
                <w:color w:val="FFFFFF"/>
                <w:sz w:val="18"/>
              </w:rPr>
              <w:t>USAC reimb.</w:t>
            </w:r>
          </w:p>
        </w:tc>
        <w:tc>
          <w:tcPr>
            <w:tcW w:type="dxa" w:w="3024"/>
            <w:shd w:val="clear" w:fill="2E5496"/>
          </w:tcPr>
          <w:p>
            <w:r>
              <w:rPr>
                <w:b/>
                <w:color w:val="FFFFFF"/>
                <w:sz w:val="18"/>
              </w:rPr>
              <w:t>Notes</w:t>
            </w:r>
          </w:p>
        </w:tc>
      </w:tr>
      <w:tr>
        <w:tc>
          <w:tcPr>
            <w:tcW w:type="dxa" w:w="3456"/>
          </w:tcPr>
          <w:p>
            <w:r>
              <w:rPr>
                <w:sz w:val="17"/>
              </w:rPr>
              <w:t>Regular retail</w:t>
            </w:r>
          </w:p>
        </w:tc>
        <w:tc>
          <w:tcPr>
            <w:tcW w:type="dxa" w:w="2304"/>
          </w:tcPr>
          <w:p>
            <w:r>
              <w:rPr>
                <w:sz w:val="17"/>
              </w:rPr>
              <w:t>$55.00</w:t>
            </w:r>
          </w:p>
        </w:tc>
        <w:tc>
          <w:tcPr>
            <w:tcW w:type="dxa" w:w="1584"/>
          </w:tcPr>
          <w:p>
            <w:r>
              <w:rPr>
                <w:sz w:val="17"/>
              </w:rPr>
              <w:t>$0.00</w:t>
            </w:r>
          </w:p>
        </w:tc>
        <w:tc>
          <w:tcPr>
            <w:tcW w:type="dxa" w:w="3024"/>
          </w:tcPr>
          <w:p>
            <w:r>
              <w:rPr>
                <w:sz w:val="17"/>
              </w:rPr>
              <w:t>New Senior tier list rate (placeholder)</w:t>
            </w:r>
          </w:p>
        </w:tc>
      </w:tr>
      <w:tr>
        <w:tc>
          <w:tcPr>
            <w:tcW w:type="dxa" w:w="3456"/>
          </w:tcPr>
          <w:p>
            <w:r>
              <w:rPr>
                <w:sz w:val="17"/>
              </w:rPr>
              <w:t>+ Standard Lifeline</w:t>
            </w:r>
          </w:p>
        </w:tc>
        <w:tc>
          <w:tcPr>
            <w:tcW w:type="dxa" w:w="2304"/>
          </w:tcPr>
          <w:p>
            <w:r>
              <w:rPr>
                <w:sz w:val="17"/>
              </w:rPr>
              <w:t>$45.75</w:t>
            </w:r>
          </w:p>
        </w:tc>
        <w:tc>
          <w:tcPr>
            <w:tcW w:type="dxa" w:w="1584"/>
          </w:tcPr>
          <w:p>
            <w:r>
              <w:rPr>
                <w:sz w:val="17"/>
              </w:rPr>
              <w:t>$9.25</w:t>
            </w:r>
          </w:p>
        </w:tc>
        <w:tc>
          <w:tcPr>
            <w:tcW w:type="dxa" w:w="3024"/>
          </w:tcPr>
          <w:p>
            <w:r>
              <w:rPr>
                <w:sz w:val="17"/>
              </w:rPr>
              <w:t>After $9.25 credit</w:t>
            </w:r>
          </w:p>
        </w:tc>
      </w:tr>
      <w:tr>
        <w:tc>
          <w:tcPr>
            <w:tcW w:type="dxa" w:w="3456"/>
          </w:tcPr>
          <w:p>
            <w:r>
              <w:rPr>
                <w:sz w:val="17"/>
              </w:rPr>
              <w:t>+ Enhanced Tribal</w:t>
            </w:r>
          </w:p>
        </w:tc>
        <w:tc>
          <w:tcPr>
            <w:tcW w:type="dxa" w:w="2304"/>
          </w:tcPr>
          <w:p>
            <w:r>
              <w:rPr>
                <w:sz w:val="17"/>
              </w:rPr>
              <w:t>$20.75</w:t>
            </w:r>
          </w:p>
        </w:tc>
        <w:tc>
          <w:tcPr>
            <w:tcW w:type="dxa" w:w="1584"/>
          </w:tcPr>
          <w:p>
            <w:r>
              <w:rPr>
                <w:sz w:val="17"/>
              </w:rPr>
              <w:t>$34.25</w:t>
            </w:r>
          </w:p>
        </w:tc>
        <w:tc>
          <w:tcPr>
            <w:tcW w:type="dxa" w:w="3024"/>
          </w:tcPr>
          <w:p>
            <w:r>
              <w:rPr>
                <w:sz w:val="17"/>
              </w:rPr>
              <w:t>ONLY for USAC-verified Tribal-lands address (≈0 today)</w:t>
            </w:r>
          </w:p>
        </w:tc>
      </w:tr>
      <w:tr>
        <w:tc>
          <w:tcPr>
            <w:tcW w:type="dxa" w:w="3456"/>
          </w:tcPr>
          <w:p>
            <w:r>
              <w:rPr>
                <w:sz w:val="17"/>
              </w:rPr>
              <w:t>Alt D → $10 target (std LL)</w:t>
            </w:r>
          </w:p>
        </w:tc>
        <w:tc>
          <w:tcPr>
            <w:tcW w:type="dxa" w:w="2304"/>
          </w:tcPr>
          <w:p>
            <w:r>
              <w:rPr>
                <w:sz w:val="17"/>
              </w:rPr>
              <w:t>$10.00</w:t>
            </w:r>
          </w:p>
        </w:tc>
        <w:tc>
          <w:tcPr>
            <w:tcW w:type="dxa" w:w="1584"/>
          </w:tcPr>
          <w:p>
            <w:r>
              <w:rPr>
                <w:sz w:val="17"/>
              </w:rPr>
              <w:t>$9.25</w:t>
            </w:r>
          </w:p>
        </w:tc>
        <w:tc>
          <w:tcPr>
            <w:tcW w:type="dxa" w:w="3024"/>
          </w:tcPr>
          <w:p>
            <w:r>
              <w:rPr>
                <w:sz w:val="17"/>
              </w:rPr>
              <w:t>RIVR/Tribe top-up covers the remainder</w:t>
            </w:r>
          </w:p>
        </w:tc>
      </w:tr>
      <w:tr>
        <w:tc>
          <w:tcPr>
            <w:tcW w:type="dxa" w:w="3456"/>
          </w:tcPr>
          <w:p>
            <w:r>
              <w:rPr>
                <w:sz w:val="17"/>
              </w:rPr>
              <w:t>Alt D → $10 target (no Lifeline)</w:t>
            </w:r>
          </w:p>
        </w:tc>
        <w:tc>
          <w:tcPr>
            <w:tcW w:type="dxa" w:w="2304"/>
          </w:tcPr>
          <w:p>
            <w:r>
              <w:rPr>
                <w:sz w:val="17"/>
              </w:rPr>
              <w:t>$10.00</w:t>
            </w:r>
          </w:p>
        </w:tc>
        <w:tc>
          <w:tcPr>
            <w:tcW w:type="dxa" w:w="1584"/>
          </w:tcPr>
          <w:p>
            <w:r>
              <w:rPr>
                <w:sz w:val="17"/>
              </w:rPr>
              <w:t>$0.00</w:t>
            </w:r>
          </w:p>
        </w:tc>
        <w:tc>
          <w:tcPr>
            <w:tcW w:type="dxa" w:w="3024"/>
          </w:tcPr>
          <w:p>
            <w:r>
              <w:rPr>
                <w:sz w:val="17"/>
              </w:rPr>
              <w:t>Fully company/Tribe-funded gap</w:t>
            </w:r>
          </w:p>
        </w:tc>
      </w:tr>
    </w:tbl>
    <w:p>
      <w:r>
        <w:rPr>
          <w:b w:val="0"/>
          <w:i/>
          <w:color w:val="595959"/>
          <w:sz w:val="18"/>
        </w:rPr>
        <w:t>Federal Lifeline support, any TBCP/grant funds, RIVR-funded discounts, and Lumbee Tribe contributions are kept in separate accounting categories; TBCP funds are not treated as a recurring consumer subsidy unless the award expressly authorizes it (SR-10).</w:t>
      </w:r>
    </w:p>
    <w:p>
      <w:pPr>
        <w:pStyle w:val="Heading1"/>
      </w:pPr>
      <w:r>
        <w:t>7. Operational workstreams (overview)</w:t>
      </w:r>
    </w:p>
    <w:p>
      <w:r>
        <w:rPr>
          <w:b w:val="0"/>
          <w:i w:val="0"/>
          <w:sz w:val="21"/>
        </w:rPr>
        <w:t>Detailed procedures live in Deliverables 03–05, 07–08. Summary:</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2E5496"/>
          </w:tcPr>
          <w:p>
            <w:r>
              <w:rPr>
                <w:b/>
                <w:color w:val="FFFFFF"/>
                <w:sz w:val="18"/>
              </w:rPr>
              <w:t>Workstream</w:t>
            </w:r>
          </w:p>
        </w:tc>
        <w:tc>
          <w:tcPr>
            <w:tcW w:type="dxa" w:w="6048"/>
            <w:shd w:val="clear" w:fill="2E5496"/>
          </w:tcPr>
          <w:p>
            <w:r>
              <w:rPr>
                <w:b/>
                <w:color w:val="FFFFFF"/>
                <w:sz w:val="18"/>
              </w:rPr>
              <w:t>What it covers</w:t>
            </w:r>
          </w:p>
        </w:tc>
        <w:tc>
          <w:tcPr>
            <w:tcW w:type="dxa" w:w="1440"/>
            <w:shd w:val="clear" w:fill="2E5496"/>
          </w:tcPr>
          <w:p>
            <w:r>
              <w:rPr>
                <w:b/>
                <w:color w:val="FFFFFF"/>
                <w:sz w:val="18"/>
              </w:rPr>
              <w:t>Deliverable</w:t>
            </w:r>
          </w:p>
        </w:tc>
      </w:tr>
      <w:tr>
        <w:tc>
          <w:tcPr>
            <w:tcW w:type="dxa" w:w="2448"/>
          </w:tcPr>
          <w:p>
            <w:r>
              <w:rPr>
                <w:sz w:val="17"/>
              </w:rPr>
              <w:t>Governance &amp; approval</w:t>
            </w:r>
          </w:p>
        </w:tc>
        <w:tc>
          <w:tcPr>
            <w:tcW w:type="dxa" w:w="6048"/>
          </w:tcPr>
          <w:p>
            <w:r>
              <w:rPr>
                <w:sz w:val="17"/>
              </w:rPr>
              <w:t>Sponsor, Program Owner, Compliance, Counsel, Finance, Billing, IT, CS, Sales, Marketing, Network, Tribe, Audit; RACI</w:t>
            </w:r>
          </w:p>
        </w:tc>
        <w:tc>
          <w:tcPr>
            <w:tcW w:type="dxa" w:w="1440"/>
          </w:tcPr>
          <w:p>
            <w:r>
              <w:rPr>
                <w:sz w:val="17"/>
              </w:rPr>
              <w:t>01 §8, 08</w:t>
            </w:r>
          </w:p>
        </w:tc>
      </w:tr>
      <w:tr>
        <w:tc>
          <w:tcPr>
            <w:tcW w:type="dxa" w:w="2448"/>
          </w:tcPr>
          <w:p>
            <w:r>
              <w:rPr>
                <w:sz w:val="17"/>
              </w:rPr>
              <w:t>USAC &amp; regulatory readiness</w:t>
            </w:r>
          </w:p>
        </w:tc>
        <w:tc>
          <w:tcPr>
            <w:tcW w:type="dxa" w:w="6048"/>
          </w:tcPr>
          <w:p>
            <w:r>
              <w:rPr>
                <w:sz w:val="17"/>
              </w:rPr>
              <w:t>ETC order, FRN, SAM.gov/UEI, SAC, 498, RAD, NV/NLAD/LCS, Forms 481/555, records, advertising, WFA</w:t>
            </w:r>
          </w:p>
        </w:tc>
        <w:tc>
          <w:tcPr>
            <w:tcW w:type="dxa" w:w="1440"/>
          </w:tcPr>
          <w:p>
            <w:r>
              <w:rPr>
                <w:sz w:val="17"/>
              </w:rPr>
              <w:t>03, 07</w:t>
            </w:r>
          </w:p>
        </w:tc>
      </w:tr>
      <w:tr>
        <w:tc>
          <w:tcPr>
            <w:tcW w:type="dxa" w:w="2448"/>
          </w:tcPr>
          <w:p>
            <w:r>
              <w:rPr>
                <w:sz w:val="17"/>
              </w:rPr>
              <w:t>Enrollment</w:t>
            </w:r>
          </w:p>
        </w:tc>
        <w:tc>
          <w:tcPr>
            <w:tcW w:type="dxa" w:w="6048"/>
          </w:tcPr>
          <w:p>
            <w:r>
              <w:rPr>
                <w:sz w:val="17"/>
              </w:rPr>
              <w:t>10 workflows + universal control points; NV-before-NLAD; QC; retention</w:t>
            </w:r>
          </w:p>
        </w:tc>
        <w:tc>
          <w:tcPr>
            <w:tcW w:type="dxa" w:w="1440"/>
          </w:tcPr>
          <w:p>
            <w:r>
              <w:rPr>
                <w:sz w:val="17"/>
              </w:rPr>
              <w:t>04</w:t>
            </w:r>
          </w:p>
        </w:tc>
      </w:tr>
      <w:tr>
        <w:tc>
          <w:tcPr>
            <w:tcW w:type="dxa" w:w="2448"/>
          </w:tcPr>
          <w:p>
            <w:r>
              <w:rPr>
                <w:sz w:val="17"/>
              </w:rPr>
              <w:t>Billing / NISC</w:t>
            </w:r>
          </w:p>
        </w:tc>
        <w:tc>
          <w:tcPr>
            <w:tcW w:type="dxa" w:w="6048"/>
          </w:tcPr>
          <w:p>
            <w:r>
              <w:rPr>
                <w:sz w:val="17"/>
              </w:rPr>
              <w:t>Rate &amp; credit codes, tax config, GL mapping, bill text, effective dates, reversals, exceptions</w:t>
            </w:r>
          </w:p>
        </w:tc>
        <w:tc>
          <w:tcPr>
            <w:tcW w:type="dxa" w:w="1440"/>
          </w:tcPr>
          <w:p>
            <w:r>
              <w:rPr>
                <w:sz w:val="17"/>
              </w:rPr>
              <w:t>05</w:t>
            </w:r>
          </w:p>
        </w:tc>
      </w:tr>
      <w:tr>
        <w:tc>
          <w:tcPr>
            <w:tcW w:type="dxa" w:w="2448"/>
          </w:tcPr>
          <w:p>
            <w:r>
              <w:rPr>
                <w:sz w:val="17"/>
              </w:rPr>
              <w:t>Reimbursement &amp; reconciliation</w:t>
            </w:r>
          </w:p>
        </w:tc>
        <w:tc>
          <w:tcPr>
            <w:tcW w:type="dxa" w:w="6048"/>
          </w:tcPr>
          <w:p>
            <w:r>
              <w:rPr>
                <w:sz w:val="17"/>
              </w:rPr>
              <w:t>Monthly close; three-way NISC↔NLAD↔LCS reconciliation; officer certification</w:t>
            </w:r>
          </w:p>
        </w:tc>
        <w:tc>
          <w:tcPr>
            <w:tcW w:type="dxa" w:w="1440"/>
          </w:tcPr>
          <w:p>
            <w:r>
              <w:rPr>
                <w:sz w:val="17"/>
              </w:rPr>
              <w:t>05</w:t>
            </w:r>
          </w:p>
        </w:tc>
      </w:tr>
      <w:tr>
        <w:tc>
          <w:tcPr>
            <w:tcW w:type="dxa" w:w="2448"/>
          </w:tcPr>
          <w:p>
            <w:r>
              <w:rPr>
                <w:sz w:val="17"/>
              </w:rPr>
              <w:t>Recertification &amp; de-enrollment</w:t>
            </w:r>
          </w:p>
        </w:tc>
        <w:tc>
          <w:tcPr>
            <w:tcW w:type="dxa" w:w="6048"/>
          </w:tcPr>
          <w:p>
            <w:r>
              <w:rPr>
                <w:sz w:val="17"/>
              </w:rPr>
              <w:t>Annual recert (60-day), non-usage [confirm], de-enrollment, notices, no retroactive billing</w:t>
            </w:r>
          </w:p>
        </w:tc>
        <w:tc>
          <w:tcPr>
            <w:tcW w:type="dxa" w:w="1440"/>
          </w:tcPr>
          <w:p>
            <w:r>
              <w:rPr>
                <w:sz w:val="17"/>
              </w:rPr>
              <w:t>03, 04</w:t>
            </w:r>
          </w:p>
        </w:tc>
      </w:tr>
      <w:tr>
        <w:tc>
          <w:tcPr>
            <w:tcW w:type="dxa" w:w="2448"/>
          </w:tcPr>
          <w:p>
            <w:r>
              <w:rPr>
                <w:sz w:val="17"/>
              </w:rPr>
              <w:t>Privacy &amp; information security</w:t>
            </w:r>
          </w:p>
        </w:tc>
        <w:tc>
          <w:tcPr>
            <w:tcW w:type="dxa" w:w="6048"/>
          </w:tcPr>
          <w:p>
            <w:r>
              <w:rPr>
                <w:sz w:val="17"/>
              </w:rPr>
              <w:t>Consent, data minimization, role-based access, no SSN/roll in unsecured fields, audit logs</w:t>
            </w:r>
          </w:p>
        </w:tc>
        <w:tc>
          <w:tcPr>
            <w:tcW w:type="dxa" w:w="1440"/>
          </w:tcPr>
          <w:p>
            <w:r>
              <w:rPr>
                <w:sz w:val="17"/>
              </w:rPr>
              <w:t>03, 05</w:t>
            </w:r>
          </w:p>
        </w:tc>
      </w:tr>
    </w:tbl>
    <w:p>
      <w:pPr>
        <w:pStyle w:val="Heading1"/>
      </w:pPr>
      <w:r>
        <w:t>8. Implementation roadmap &amp; governance</w:t>
      </w:r>
    </w:p>
    <w:p>
      <w:r>
        <w:rPr>
          <w:b w:val="0"/>
          <w:i w:val="0"/>
          <w:sz w:val="21"/>
        </w:rPr>
        <w:t>Five phases (full task/owner/date/evidence detail + RACI in Deliverable 08).</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2E5496"/>
          </w:tcPr>
          <w:p>
            <w:r>
              <w:rPr>
                <w:b/>
                <w:color w:val="FFFFFF"/>
                <w:sz w:val="18"/>
              </w:rPr>
              <w:t>Phase</w:t>
            </w:r>
          </w:p>
        </w:tc>
        <w:tc>
          <w:tcPr>
            <w:tcW w:type="dxa" w:w="5328"/>
            <w:shd w:val="clear" w:fill="2E5496"/>
          </w:tcPr>
          <w:p>
            <w:r>
              <w:rPr>
                <w:b/>
                <w:color w:val="FFFFFF"/>
                <w:sz w:val="18"/>
              </w:rPr>
              <w:t>Focus</w:t>
            </w:r>
          </w:p>
        </w:tc>
        <w:tc>
          <w:tcPr>
            <w:tcW w:type="dxa" w:w="2448"/>
            <w:shd w:val="clear" w:fill="2E5496"/>
          </w:tcPr>
          <w:p>
            <w:r>
              <w:rPr>
                <w:b/>
                <w:color w:val="FFFFFF"/>
                <w:sz w:val="18"/>
              </w:rPr>
              <w:t>Gate to exit</w:t>
            </w:r>
          </w:p>
        </w:tc>
      </w:tr>
      <w:tr>
        <w:tc>
          <w:tcPr>
            <w:tcW w:type="dxa" w:w="2736"/>
          </w:tcPr>
          <w:p>
            <w:r>
              <w:rPr>
                <w:sz w:val="17"/>
              </w:rPr>
              <w:t>0 — ETC pending (now)</w:t>
            </w:r>
          </w:p>
        </w:tc>
        <w:tc>
          <w:tcPr>
            <w:tcW w:type="dxa" w:w="5328"/>
          </w:tcPr>
          <w:p>
            <w:r>
              <w:rPr>
                <w:sz w:val="17"/>
              </w:rPr>
              <w:t>Research, design, financial model, policy drafting, Tribe discussions, tax &amp; legal determinations</w:t>
            </w:r>
          </w:p>
        </w:tc>
        <w:tc>
          <w:tcPr>
            <w:tcW w:type="dxa" w:w="2448"/>
          </w:tcPr>
          <w:p>
            <w:r>
              <w:rPr>
                <w:sz w:val="17"/>
              </w:rPr>
              <w:t>Signed source register + determinations obtained</w:t>
            </w:r>
          </w:p>
        </w:tc>
      </w:tr>
      <w:tr>
        <w:tc>
          <w:tcPr>
            <w:tcW w:type="dxa" w:w="2736"/>
          </w:tcPr>
          <w:p>
            <w:r>
              <w:rPr>
                <w:sz w:val="17"/>
              </w:rPr>
              <w:t>1 — ETC approval &amp; USAC onboarding</w:t>
            </w:r>
          </w:p>
        </w:tc>
        <w:tc>
          <w:tcPr>
            <w:tcW w:type="dxa" w:w="5328"/>
          </w:tcPr>
          <w:p>
            <w:r>
              <w:rPr>
                <w:sz w:val="17"/>
              </w:rPr>
              <w:t>FRN/SAM/SAC/498/RAD; NV/NLAD/LCS access; NISC config &amp; test; training</w:t>
            </w:r>
          </w:p>
        </w:tc>
        <w:tc>
          <w:tcPr>
            <w:tcW w:type="dxa" w:w="2448"/>
          </w:tcPr>
          <w:p>
            <w:r>
              <w:rPr>
                <w:sz w:val="17"/>
              </w:rPr>
              <w:t>Final ETC order + onboarding complete</w:t>
            </w:r>
          </w:p>
        </w:tc>
      </w:tr>
      <w:tr>
        <w:tc>
          <w:tcPr>
            <w:tcW w:type="dxa" w:w="2736"/>
          </w:tcPr>
          <w:p>
            <w:r>
              <w:rPr>
                <w:sz w:val="17"/>
              </w:rPr>
              <w:t>2 — Controlled pilot</w:t>
            </w:r>
          </w:p>
        </w:tc>
        <w:tc>
          <w:tcPr>
            <w:tcW w:type="dxa" w:w="5328"/>
          </w:tcPr>
          <w:p>
            <w:r>
              <w:rPr>
                <w:sz w:val="17"/>
              </w:rPr>
              <w:t>≤25–50 existing customers through enrollment→NLAD→bill→LCS→reconcile</w:t>
            </w:r>
          </w:p>
        </w:tc>
        <w:tc>
          <w:tcPr>
            <w:tcW w:type="dxa" w:w="2448"/>
          </w:tcPr>
          <w:p>
            <w:r>
              <w:rPr>
                <w:sz w:val="17"/>
              </w:rPr>
              <w:t>Clean three-way reconciliation</w:t>
            </w:r>
          </w:p>
        </w:tc>
      </w:tr>
      <w:tr>
        <w:tc>
          <w:tcPr>
            <w:tcW w:type="dxa" w:w="2736"/>
          </w:tcPr>
          <w:p>
            <w:r>
              <w:rPr>
                <w:sz w:val="17"/>
              </w:rPr>
              <w:t>3 — Public launch</w:t>
            </w:r>
          </w:p>
        </w:tc>
        <w:tc>
          <w:tcPr>
            <w:tcW w:type="dxa" w:w="5328"/>
          </w:tcPr>
          <w:p>
            <w:r>
              <w:rPr>
                <w:sz w:val="17"/>
              </w:rPr>
              <w:t>Coordinated RIVR + Lumbee comms; open enrollment across ETC area</w:t>
            </w:r>
          </w:p>
        </w:tc>
        <w:tc>
          <w:tcPr>
            <w:tcW w:type="dxa" w:w="2448"/>
          </w:tcPr>
          <w:p>
            <w:r>
              <w:rPr>
                <w:sz w:val="17"/>
              </w:rPr>
              <w:t>Launch readiness scorecard GO (Deliverable 12)</w:t>
            </w:r>
          </w:p>
        </w:tc>
      </w:tr>
      <w:tr>
        <w:tc>
          <w:tcPr>
            <w:tcW w:type="dxa" w:w="2736"/>
          </w:tcPr>
          <w:p>
            <w:r>
              <w:rPr>
                <w:sz w:val="17"/>
              </w:rPr>
              <w:t>4 — Stabilization</w:t>
            </w:r>
          </w:p>
        </w:tc>
        <w:tc>
          <w:tcPr>
            <w:tcW w:type="dxa" w:w="5328"/>
          </w:tcPr>
          <w:p>
            <w:r>
              <w:rPr>
                <w:sz w:val="17"/>
              </w:rPr>
              <w:t>30/60/90-day reviews; correct enrollment/billing/claims/training</w:t>
            </w:r>
          </w:p>
        </w:tc>
        <w:tc>
          <w:tcPr>
            <w:tcW w:type="dxa" w:w="2448"/>
          </w:tcPr>
          <w:p>
            <w:r>
              <w:rPr>
                <w:sz w:val="17"/>
              </w:rPr>
              <w:t>Issues closed; steady-state metrics</w:t>
            </w:r>
          </w:p>
        </w:tc>
      </w:tr>
    </w:tbl>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Do not market RIVR Tech as an approved Lifeline provider during Phase 0. Public launch (Phase 3) follows a passing pilot, not before.</w:t>
            </w:r>
          </w:p>
        </w:tc>
      </w:tr>
    </w:tbl>
    <w:p>
      <w:pPr>
        <w:pStyle w:val="Heading2"/>
      </w:pPr>
      <w:r>
        <w:t>8.1 Governance roles</w:t>
      </w:r>
    </w:p>
    <w:p>
      <w:r>
        <w:rPr>
          <w:b w:val="0"/>
          <w:i w:val="0"/>
          <w:sz w:val="21"/>
        </w:rPr>
        <w:t>Executive Sponsor; Program Owner; Compliance Officer; Regulatory Counsel; Finance; Accounting; Billing; IT; Customer Service; Sales; Marketing; Network Operations; Lumbee Tribe representatives; Internal Audit. Full RACI in Deliverable 08.</w:t>
      </w:r>
    </w:p>
    <w:p>
      <w:pPr>
        <w:pStyle w:val="Heading1"/>
      </w:pPr>
      <w:r>
        <w:t>9. Key risks &amp; mitigations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2E5496"/>
          </w:tcPr>
          <w:p>
            <w:r>
              <w:rPr>
                <w:b/>
                <w:color w:val="FFFFFF"/>
                <w:sz w:val="18"/>
              </w:rPr>
              <w:t>Risk</w:t>
            </w:r>
          </w:p>
        </w:tc>
        <w:tc>
          <w:tcPr>
            <w:tcW w:type="dxa" w:w="6192"/>
            <w:shd w:val="clear" w:fill="2E5496"/>
          </w:tcPr>
          <w:p>
            <w:r>
              <w:rPr>
                <w:b/>
                <w:color w:val="FFFFFF"/>
                <w:sz w:val="18"/>
              </w:rPr>
              <w:t>Mitigation</w:t>
            </w:r>
          </w:p>
        </w:tc>
      </w:tr>
      <w:tr>
        <w:tc>
          <w:tcPr>
            <w:tcW w:type="dxa" w:w="4320"/>
          </w:tcPr>
          <w:p>
            <w:r>
              <w:rPr>
                <w:sz w:val="17"/>
              </w:rPr>
              <w:t>Improperly claiming enhanced Tribal benefit based on membership/county</w:t>
            </w:r>
          </w:p>
        </w:tc>
        <w:tc>
          <w:tcPr>
            <w:tcW w:type="dxa" w:w="6192"/>
          </w:tcPr>
          <w:p>
            <w:r>
              <w:rPr>
                <w:sz w:val="17"/>
              </w:rPr>
              <w:t>Address-only verification via USAC tool; 0-subscriber default; written determination; training &amp; prohibited-statements list (03, 10)</w:t>
            </w:r>
          </w:p>
        </w:tc>
      </w:tr>
      <w:tr>
        <w:tc>
          <w:tcPr>
            <w:tcW w:type="dxa" w:w="4320"/>
          </w:tcPr>
          <w:p>
            <w:r>
              <w:rPr>
                <w:sz w:val="17"/>
              </w:rPr>
              <w:t>Launching before ETC/USAC readiness</w:t>
            </w:r>
          </w:p>
        </w:tc>
        <w:tc>
          <w:tcPr>
            <w:tcW w:type="dxa" w:w="6192"/>
          </w:tcPr>
          <w:p>
            <w:r>
              <w:rPr>
                <w:sz w:val="17"/>
              </w:rPr>
              <w:t>Readiness scorecard gate (12); no marketing as approved provider until Phase 1 done</w:t>
            </w:r>
          </w:p>
        </w:tc>
      </w:tr>
      <w:tr>
        <w:tc>
          <w:tcPr>
            <w:tcW w:type="dxa" w:w="4320"/>
          </w:tcPr>
          <w:p>
            <w:r>
              <w:rPr>
                <w:sz w:val="17"/>
              </w:rPr>
              <w:t>Advertising taxes that don't apply</w:t>
            </w:r>
          </w:p>
        </w:tc>
        <w:tc>
          <w:tcPr>
            <w:tcW w:type="dxa" w:w="6192"/>
          </w:tcPr>
          <w:p>
            <w:r>
              <w:rPr>
                <w:sz w:val="17"/>
              </w:rPr>
              <w:t>No 'plus tax' until tax opinion; ITFA bars internet-access tax (09, SR-9)</w:t>
            </w:r>
          </w:p>
        </w:tc>
      </w:tr>
      <w:tr>
        <w:tc>
          <w:tcPr>
            <w:tcW w:type="dxa" w:w="4320"/>
          </w:tcPr>
          <w:p>
            <w:r>
              <w:rPr>
                <w:sz w:val="17"/>
              </w:rPr>
              <w:t>Commingling funding streams</w:t>
            </w:r>
          </w:p>
        </w:tc>
        <w:tc>
          <w:tcPr>
            <w:tcW w:type="dxa" w:w="6192"/>
          </w:tcPr>
          <w:p>
            <w:r>
              <w:rPr>
                <w:sz w:val="17"/>
              </w:rPr>
              <w:t>Separate GL categories; monthly reconciliation; Tribe settlement invoicing (05, SR-10)</w:t>
            </w:r>
          </w:p>
        </w:tc>
      </w:tr>
      <w:tr>
        <w:tc>
          <w:tcPr>
            <w:tcW w:type="dxa" w:w="4320"/>
          </w:tcPr>
          <w:p>
            <w:r>
              <w:rPr>
                <w:sz w:val="17"/>
              </w:rPr>
              <w:t>Duplicate/one-per-household violations</w:t>
            </w:r>
          </w:p>
        </w:tc>
        <w:tc>
          <w:tcPr>
            <w:tcW w:type="dxa" w:w="6192"/>
          </w:tcPr>
          <w:p>
            <w:r>
              <w:rPr>
                <w:sz w:val="17"/>
              </w:rPr>
              <w:t>National Verifier + NLAD de-dup; household worksheet (03, 04)</w:t>
            </w:r>
          </w:p>
        </w:tc>
      </w:tr>
      <w:tr>
        <w:tc>
          <w:tcPr>
            <w:tcW w:type="dxa" w:w="4320"/>
          </w:tcPr>
          <w:p>
            <w:r>
              <w:rPr>
                <w:sz w:val="17"/>
              </w:rPr>
              <w:t>Privacy exposure of eligibility/roll data</w:t>
            </w:r>
          </w:p>
        </w:tc>
        <w:tc>
          <w:tcPr>
            <w:tcW w:type="dxa" w:w="6192"/>
          </w:tcPr>
          <w:p>
            <w:r>
              <w:rPr>
                <w:sz w:val="17"/>
              </w:rPr>
              <w:t>Data minimization; role-based access; no roll transfer; audit logs (03, 05, 11)</w:t>
            </w:r>
          </w:p>
        </w:tc>
      </w:tr>
      <w:tr>
        <w:tc>
          <w:tcPr>
            <w:tcW w:type="dxa" w:w="4320"/>
          </w:tcPr>
          <w:p>
            <w:r>
              <w:rPr>
                <w:sz w:val="17"/>
              </w:rPr>
              <w:t>Unconfirmed RIVR pricing drives bad decisions</w:t>
            </w:r>
          </w:p>
        </w:tc>
        <w:tc>
          <w:tcPr>
            <w:tcW w:type="dxa" w:w="6192"/>
          </w:tcPr>
          <w:p>
            <w:r>
              <w:rPr>
                <w:sz w:val="17"/>
              </w:rPr>
              <w:t>Obtain confirmed price sheet before finalizing model &amp; rates (02, 13)</w:t>
            </w:r>
          </w:p>
        </w:tc>
      </w:tr>
    </w:tbl>
    <w:p>
      <w:pPr>
        <w:pStyle w:val="Heading1"/>
      </w:pPr>
      <w:r>
        <w:t>10. Financial summary</w:t>
      </w:r>
    </w:p>
    <w:p>
      <w:r>
        <w:rPr>
          <w:b w:val="0"/>
          <w:i w:val="0"/>
          <w:sz w:val="21"/>
        </w:rPr>
        <w:t>The Financial Model (Deliverable 06) is fully formula-driven with editable assumptions. It computes per-subscriber contribution margin across all six pricing scenarios and the four senior alternatives, a 12-month subscriber build (conservative 0.6x / expected 1.0x / aggressive 1.5x), a contribution P&amp;L, break-even, USAC cash-timing, and a 36-month scenario summary. The single largest lever on sustainability is the National Verifier approval rate — moving seniors from the fully company-funded cohort into the Lifeline-supported cohort (which carries the $9.25 USAC offset). Because retail and cost inputs are still placeholders, the sign of contribution margin must be re-checked once RIVR confirms actual figures.</w:t>
      </w:r>
    </w:p>
    <w:p>
      <w:pPr>
        <w:pStyle w:val="Heading1"/>
      </w:pPr>
      <w:r>
        <w:t>11. Required executive decisions</w:t>
      </w:r>
    </w:p>
    <w:p>
      <w:r>
        <w:rPr>
          <w:b w:val="0"/>
          <w:i w:val="0"/>
          <w:sz w:val="21"/>
        </w:rPr>
        <w:t>Each item below has a recommended decision, rationale, responsible decision-maker, and required-by date. These mirror the Open Issues &amp; Legal Decisions Log (Deliverable 13).</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60"/>
            <w:shd w:val="clear" w:fill="2E5496"/>
          </w:tcPr>
          <w:p>
            <w:r>
              <w:rPr>
                <w:b/>
                <w:color w:val="FFFFFF"/>
                <w:sz w:val="18"/>
              </w:rPr>
              <w:t>#</w:t>
            </w:r>
          </w:p>
        </w:tc>
        <w:tc>
          <w:tcPr>
            <w:tcW w:type="dxa" w:w="1944"/>
            <w:shd w:val="clear" w:fill="2E5496"/>
          </w:tcPr>
          <w:p>
            <w:r>
              <w:rPr>
                <w:b/>
                <w:color w:val="FFFFFF"/>
                <w:sz w:val="18"/>
              </w:rPr>
              <w:t>Decision</w:t>
            </w:r>
          </w:p>
        </w:tc>
        <w:tc>
          <w:tcPr>
            <w:tcW w:type="dxa" w:w="2088"/>
            <w:shd w:val="clear" w:fill="2E5496"/>
          </w:tcPr>
          <w:p>
            <w:r>
              <w:rPr>
                <w:b/>
                <w:color w:val="FFFFFF"/>
                <w:sz w:val="18"/>
              </w:rPr>
              <w:t>Recommended</w:t>
            </w:r>
          </w:p>
        </w:tc>
        <w:tc>
          <w:tcPr>
            <w:tcW w:type="dxa" w:w="3024"/>
            <w:shd w:val="clear" w:fill="2E5496"/>
          </w:tcPr>
          <w:p>
            <w:r>
              <w:rPr>
                <w:b/>
                <w:color w:val="FFFFFF"/>
                <w:sz w:val="18"/>
              </w:rPr>
              <w:t>Rationale</w:t>
            </w:r>
          </w:p>
        </w:tc>
        <w:tc>
          <w:tcPr>
            <w:tcW w:type="dxa" w:w="1512"/>
            <w:shd w:val="clear" w:fill="2E5496"/>
          </w:tcPr>
          <w:p>
            <w:r>
              <w:rPr>
                <w:b/>
                <w:color w:val="FFFFFF"/>
                <w:sz w:val="18"/>
              </w:rPr>
              <w:t>Decision-maker</w:t>
            </w:r>
          </w:p>
        </w:tc>
        <w:tc>
          <w:tcPr>
            <w:tcW w:type="dxa" w:w="1080"/>
            <w:shd w:val="clear" w:fill="2E5496"/>
          </w:tcPr>
          <w:p>
            <w:r>
              <w:rPr>
                <w:b/>
                <w:color w:val="FFFFFF"/>
                <w:sz w:val="18"/>
              </w:rPr>
              <w:t>By</w:t>
            </w:r>
          </w:p>
        </w:tc>
      </w:tr>
      <w:tr>
        <w:tc>
          <w:tcPr>
            <w:tcW w:type="dxa" w:w="360"/>
          </w:tcPr>
          <w:p>
            <w:r>
              <w:rPr>
                <w:sz w:val="17"/>
              </w:rPr>
              <w:t>1</w:t>
            </w:r>
          </w:p>
        </w:tc>
        <w:tc>
          <w:tcPr>
            <w:tcW w:type="dxa" w:w="1944"/>
          </w:tcPr>
          <w:p>
            <w:r>
              <w:rPr>
                <w:sz w:val="17"/>
              </w:rPr>
              <w:t>Senior eligibility age</w:t>
            </w:r>
          </w:p>
        </w:tc>
        <w:tc>
          <w:tcPr>
            <w:tcW w:type="dxa" w:w="2088"/>
          </w:tcPr>
          <w:p>
            <w:r>
              <w:rPr>
                <w:sz w:val="17"/>
              </w:rPr>
              <w:t>62</w:t>
            </w:r>
          </w:p>
        </w:tc>
        <w:tc>
          <w:tcPr>
            <w:tcW w:type="dxa" w:w="3024"/>
          </w:tcPr>
          <w:p>
            <w:r>
              <w:rPr>
                <w:sz w:val="17"/>
              </w:rPr>
              <w:t>SSA early-retirement anchor; balances reach vs. company subsidy (65=narrow/cheaper, 60=broad/costly)</w:t>
            </w:r>
          </w:p>
        </w:tc>
        <w:tc>
          <w:tcPr>
            <w:tcW w:type="dxa" w:w="1512"/>
          </w:tcPr>
          <w:p>
            <w:r>
              <w:rPr>
                <w:sz w:val="17"/>
              </w:rPr>
              <w:t>Exec Sponsor</w:t>
            </w:r>
          </w:p>
        </w:tc>
        <w:tc>
          <w:tcPr>
            <w:tcW w:type="dxa" w:w="1080"/>
          </w:tcPr>
          <w:p>
            <w:r>
              <w:rPr>
                <w:sz w:val="17"/>
              </w:rPr>
              <w:t>Phase 0 end</w:t>
            </w:r>
          </w:p>
        </w:tc>
      </w:tr>
      <w:tr>
        <w:tc>
          <w:tcPr>
            <w:tcW w:type="dxa" w:w="360"/>
          </w:tcPr>
          <w:p>
            <w:r>
              <w:rPr>
                <w:sz w:val="17"/>
              </w:rPr>
              <w:t>2</w:t>
            </w:r>
          </w:p>
        </w:tc>
        <w:tc>
          <w:tcPr>
            <w:tcW w:type="dxa" w:w="1944"/>
          </w:tcPr>
          <w:p>
            <w:r>
              <w:rPr>
                <w:sz w:val="17"/>
              </w:rPr>
              <w:t>$10 = retail or net?</w:t>
            </w:r>
          </w:p>
        </w:tc>
        <w:tc>
          <w:tcPr>
            <w:tcW w:type="dxa" w:w="2088"/>
          </w:tcPr>
          <w:p>
            <w:r>
              <w:rPr>
                <w:sz w:val="17"/>
              </w:rPr>
              <w:t>NET after subsidies (Alt D)</w:t>
            </w:r>
          </w:p>
        </w:tc>
        <w:tc>
          <w:tcPr>
            <w:tcW w:type="dxa" w:w="3024"/>
          </w:tcPr>
          <w:p>
            <w:r>
              <w:rPr>
                <w:sz w:val="17"/>
              </w:rPr>
              <w:t>Avoids over-recovery on tribal; protects non-Lifeline seniors; simplest NISC admin</w:t>
            </w:r>
          </w:p>
        </w:tc>
        <w:tc>
          <w:tcPr>
            <w:tcW w:type="dxa" w:w="1512"/>
          </w:tcPr>
          <w:p>
            <w:r>
              <w:rPr>
                <w:sz w:val="17"/>
              </w:rPr>
              <w:t>Exec Sponsor + CFO</w:t>
            </w:r>
          </w:p>
        </w:tc>
        <w:tc>
          <w:tcPr>
            <w:tcW w:type="dxa" w:w="1080"/>
          </w:tcPr>
          <w:p>
            <w:r>
              <w:rPr>
                <w:sz w:val="17"/>
              </w:rPr>
              <w:t>Phase 0 end</w:t>
            </w:r>
          </w:p>
        </w:tc>
      </w:tr>
      <w:tr>
        <w:tc>
          <w:tcPr>
            <w:tcW w:type="dxa" w:w="360"/>
          </w:tcPr>
          <w:p>
            <w:r>
              <w:rPr>
                <w:sz w:val="17"/>
              </w:rPr>
              <w:t>3</w:t>
            </w:r>
          </w:p>
        </w:tc>
        <w:tc>
          <w:tcPr>
            <w:tcW w:type="dxa" w:w="1944"/>
          </w:tcPr>
          <w:p>
            <w:r>
              <w:rPr>
                <w:sz w:val="17"/>
              </w:rPr>
              <w:t>Company-funded discount for non-Lifeline seniors?</w:t>
            </w:r>
          </w:p>
        </w:tc>
        <w:tc>
          <w:tcPr>
            <w:tcW w:type="dxa" w:w="2088"/>
          </w:tcPr>
          <w:p>
            <w:r>
              <w:rPr>
                <w:sz w:val="17"/>
              </w:rPr>
              <w:t>Yes, capped (Alt D)</w:t>
            </w:r>
          </w:p>
        </w:tc>
        <w:tc>
          <w:tcPr>
            <w:tcW w:type="dxa" w:w="3024"/>
          </w:tcPr>
          <w:p>
            <w:r>
              <w:rPr>
                <w:sz w:val="17"/>
              </w:rPr>
              <w:t>Equity of a senior plan; but full cost w/o USAC offset — cap exposure</w:t>
            </w:r>
          </w:p>
        </w:tc>
        <w:tc>
          <w:tcPr>
            <w:tcW w:type="dxa" w:w="1512"/>
          </w:tcPr>
          <w:p>
            <w:r>
              <w:rPr>
                <w:sz w:val="17"/>
              </w:rPr>
              <w:t>CFO</w:t>
            </w:r>
          </w:p>
        </w:tc>
        <w:tc>
          <w:tcPr>
            <w:tcW w:type="dxa" w:w="1080"/>
          </w:tcPr>
          <w:p>
            <w:r>
              <w:rPr>
                <w:sz w:val="17"/>
              </w:rPr>
              <w:t>Phase 0 end</w:t>
            </w:r>
          </w:p>
        </w:tc>
      </w:tr>
      <w:tr>
        <w:tc>
          <w:tcPr>
            <w:tcW w:type="dxa" w:w="360"/>
          </w:tcPr>
          <w:p>
            <w:r>
              <w:rPr>
                <w:sz w:val="17"/>
              </w:rPr>
              <w:t>4</w:t>
            </w:r>
          </w:p>
        </w:tc>
        <w:tc>
          <w:tcPr>
            <w:tcW w:type="dxa" w:w="1944"/>
          </w:tcPr>
          <w:p>
            <w:r>
              <w:rPr>
                <w:sz w:val="17"/>
              </w:rPr>
              <w:t>Lumbee Tribe additional funding?</w:t>
            </w:r>
          </w:p>
        </w:tc>
        <w:tc>
          <w:tcPr>
            <w:tcW w:type="dxa" w:w="2088"/>
          </w:tcPr>
          <w:p>
            <w:r>
              <w:rPr>
                <w:sz w:val="17"/>
              </w:rPr>
              <w:t>Pursue via MOU; base case $0</w:t>
            </w:r>
          </w:p>
        </w:tc>
        <w:tc>
          <w:tcPr>
            <w:tcW w:type="dxa" w:w="3024"/>
          </w:tcPr>
          <w:p>
            <w:r>
              <w:rPr>
                <w:sz w:val="17"/>
              </w:rPr>
              <w:t>No commitment yet; keep separate accounting (SR-10)</w:t>
            </w:r>
          </w:p>
        </w:tc>
        <w:tc>
          <w:tcPr>
            <w:tcW w:type="dxa" w:w="1512"/>
          </w:tcPr>
          <w:p>
            <w:r>
              <w:rPr>
                <w:sz w:val="17"/>
              </w:rPr>
              <w:t>Exec Sponsor + Tribe</w:t>
            </w:r>
          </w:p>
        </w:tc>
        <w:tc>
          <w:tcPr>
            <w:tcW w:type="dxa" w:w="1080"/>
          </w:tcPr>
          <w:p>
            <w:r>
              <w:rPr>
                <w:sz w:val="17"/>
              </w:rPr>
              <w:t>Phase 1</w:t>
            </w:r>
          </w:p>
        </w:tc>
      </w:tr>
      <w:tr>
        <w:tc>
          <w:tcPr>
            <w:tcW w:type="dxa" w:w="360"/>
          </w:tcPr>
          <w:p>
            <w:r>
              <w:rPr>
                <w:sz w:val="17"/>
              </w:rPr>
              <w:t>5</w:t>
            </w:r>
          </w:p>
        </w:tc>
        <w:tc>
          <w:tcPr>
            <w:tcW w:type="dxa" w:w="1944"/>
          </w:tcPr>
          <w:p>
            <w:r>
              <w:rPr>
                <w:sz w:val="17"/>
              </w:rPr>
              <w:t>Equipment &amp; installation charges</w:t>
            </w:r>
          </w:p>
        </w:tc>
        <w:tc>
          <w:tcPr>
            <w:tcW w:type="dxa" w:w="2088"/>
          </w:tcPr>
          <w:p>
            <w:r>
              <w:rPr>
                <w:sz w:val="17"/>
              </w:rPr>
              <w:t>Waive/fold equipment; free install</w:t>
            </w:r>
          </w:p>
        </w:tc>
        <w:tc>
          <w:tcPr>
            <w:tcW w:type="dxa" w:w="3024"/>
          </w:tcPr>
          <w:p>
            <w:r>
              <w:rPr>
                <w:sz w:val="17"/>
              </w:rPr>
              <w:t>$5/mo router would break the $10 target; confirm tax (SR-8.4, SR-9)</w:t>
            </w:r>
          </w:p>
        </w:tc>
        <w:tc>
          <w:tcPr>
            <w:tcW w:type="dxa" w:w="1512"/>
          </w:tcPr>
          <w:p>
            <w:r>
              <w:rPr>
                <w:sz w:val="17"/>
              </w:rPr>
              <w:t>Product + CFO</w:t>
            </w:r>
          </w:p>
        </w:tc>
        <w:tc>
          <w:tcPr>
            <w:tcW w:type="dxa" w:w="1080"/>
          </w:tcPr>
          <w:p>
            <w:r>
              <w:rPr>
                <w:sz w:val="17"/>
              </w:rPr>
              <w:t>Phase 0 end</w:t>
            </w:r>
          </w:p>
        </w:tc>
      </w:tr>
      <w:tr>
        <w:tc>
          <w:tcPr>
            <w:tcW w:type="dxa" w:w="360"/>
          </w:tcPr>
          <w:p>
            <w:r>
              <w:rPr>
                <w:sz w:val="17"/>
              </w:rPr>
              <w:t>6</w:t>
            </w:r>
          </w:p>
        </w:tc>
        <w:tc>
          <w:tcPr>
            <w:tcW w:type="dxa" w:w="1944"/>
          </w:tcPr>
          <w:p>
            <w:r>
              <w:rPr>
                <w:sz w:val="17"/>
              </w:rPr>
              <w:t>Bundle voice?</w:t>
            </w:r>
          </w:p>
        </w:tc>
        <w:tc>
          <w:tcPr>
            <w:tcW w:type="dxa" w:w="2088"/>
          </w:tcPr>
          <w:p>
            <w:r>
              <w:rPr>
                <w:sz w:val="17"/>
              </w:rPr>
              <w:t>Optional add-on only</w:t>
            </w:r>
          </w:p>
        </w:tc>
        <w:tc>
          <w:tcPr>
            <w:tcW w:type="dxa" w:w="3024"/>
          </w:tcPr>
          <w:p>
            <w:r>
              <w:rPr>
                <w:sz w:val="17"/>
              </w:rPr>
              <w:t>Broadband is the Lifeline-supported service; voice is taxable/assessed (SR-9)</w:t>
            </w:r>
          </w:p>
        </w:tc>
        <w:tc>
          <w:tcPr>
            <w:tcW w:type="dxa" w:w="1512"/>
          </w:tcPr>
          <w:p>
            <w:r>
              <w:rPr>
                <w:sz w:val="17"/>
              </w:rPr>
              <w:t>Product + Tax</w:t>
            </w:r>
          </w:p>
        </w:tc>
        <w:tc>
          <w:tcPr>
            <w:tcW w:type="dxa" w:w="1080"/>
          </w:tcPr>
          <w:p>
            <w:r>
              <w:rPr>
                <w:sz w:val="17"/>
              </w:rPr>
              <w:t>Phase 1</w:t>
            </w:r>
          </w:p>
        </w:tc>
      </w:tr>
      <w:tr>
        <w:tc>
          <w:tcPr>
            <w:tcW w:type="dxa" w:w="360"/>
          </w:tcPr>
          <w:p>
            <w:r>
              <w:rPr>
                <w:sz w:val="17"/>
              </w:rPr>
              <w:t>7</w:t>
            </w:r>
          </w:p>
        </w:tc>
        <w:tc>
          <w:tcPr>
            <w:tcW w:type="dxa" w:w="1944"/>
          </w:tcPr>
          <w:p>
            <w:r>
              <w:rPr>
                <w:sz w:val="17"/>
              </w:rPr>
              <w:t>Geographic scope</w:t>
            </w:r>
          </w:p>
        </w:tc>
        <w:tc>
          <w:tcPr>
            <w:tcW w:type="dxa" w:w="2088"/>
          </w:tcPr>
          <w:p>
            <w:r>
              <w:rPr>
                <w:sz w:val="17"/>
              </w:rPr>
              <w:t>Approved ETC service area only</w:t>
            </w:r>
          </w:p>
        </w:tc>
        <w:tc>
          <w:tcPr>
            <w:tcW w:type="dxa" w:w="3024"/>
          </w:tcPr>
          <w:p>
            <w:r>
              <w:rPr>
                <w:sz w:val="17"/>
              </w:rPr>
              <w:t>Cannot serve/claim outside the designated area (SR-6.1, SR-7)</w:t>
            </w:r>
          </w:p>
        </w:tc>
        <w:tc>
          <w:tcPr>
            <w:tcW w:type="dxa" w:w="1512"/>
          </w:tcPr>
          <w:p>
            <w:r>
              <w:rPr>
                <w:sz w:val="17"/>
              </w:rPr>
              <w:t>Reg. Counsel</w:t>
            </w:r>
          </w:p>
        </w:tc>
        <w:tc>
          <w:tcPr>
            <w:tcW w:type="dxa" w:w="1080"/>
          </w:tcPr>
          <w:p>
            <w:r>
              <w:rPr>
                <w:sz w:val="17"/>
              </w:rPr>
              <w:t>At ETC order</w:t>
            </w:r>
          </w:p>
        </w:tc>
      </w:tr>
      <w:tr>
        <w:tc>
          <w:tcPr>
            <w:tcW w:type="dxa" w:w="360"/>
          </w:tcPr>
          <w:p>
            <w:r>
              <w:rPr>
                <w:sz w:val="17"/>
              </w:rPr>
              <w:t>8</w:t>
            </w:r>
          </w:p>
        </w:tc>
        <w:tc>
          <w:tcPr>
            <w:tcW w:type="dxa" w:w="1944"/>
          </w:tcPr>
          <w:p>
            <w:r>
              <w:rPr>
                <w:sz w:val="17"/>
              </w:rPr>
              <w:t>Pilot size</w:t>
            </w:r>
          </w:p>
        </w:tc>
        <w:tc>
          <w:tcPr>
            <w:tcW w:type="dxa" w:w="2088"/>
          </w:tcPr>
          <w:p>
            <w:r>
              <w:rPr>
                <w:sz w:val="17"/>
              </w:rPr>
              <w:t>≤25–50 existing customers</w:t>
            </w:r>
          </w:p>
        </w:tc>
        <w:tc>
          <w:tcPr>
            <w:tcW w:type="dxa" w:w="3024"/>
          </w:tcPr>
          <w:p>
            <w:r>
              <w:rPr>
                <w:sz w:val="17"/>
              </w:rPr>
              <w:t>De-risk enrollment/billing/claims before scale</w:t>
            </w:r>
          </w:p>
        </w:tc>
        <w:tc>
          <w:tcPr>
            <w:tcW w:type="dxa" w:w="1512"/>
          </w:tcPr>
          <w:p>
            <w:r>
              <w:rPr>
                <w:sz w:val="17"/>
              </w:rPr>
              <w:t>Program Owner</w:t>
            </w:r>
          </w:p>
        </w:tc>
        <w:tc>
          <w:tcPr>
            <w:tcW w:type="dxa" w:w="1080"/>
          </w:tcPr>
          <w:p>
            <w:r>
              <w:rPr>
                <w:sz w:val="17"/>
              </w:rPr>
              <w:t>Phase 2</w:t>
            </w:r>
          </w:p>
        </w:tc>
      </w:tr>
      <w:tr>
        <w:tc>
          <w:tcPr>
            <w:tcW w:type="dxa" w:w="360"/>
          </w:tcPr>
          <w:p>
            <w:r>
              <w:rPr>
                <w:sz w:val="17"/>
              </w:rPr>
              <w:t>9</w:t>
            </w:r>
          </w:p>
        </w:tc>
        <w:tc>
          <w:tcPr>
            <w:tcW w:type="dxa" w:w="1944"/>
          </w:tcPr>
          <w:p>
            <w:r>
              <w:rPr>
                <w:sz w:val="17"/>
              </w:rPr>
              <w:t>Launch date</w:t>
            </w:r>
          </w:p>
        </w:tc>
        <w:tc>
          <w:tcPr>
            <w:tcW w:type="dxa" w:w="2088"/>
          </w:tcPr>
          <w:p>
            <w:r>
              <w:rPr>
                <w:sz w:val="17"/>
              </w:rPr>
              <w:t>After pilot 3-way reconciliation passes</w:t>
            </w:r>
          </w:p>
        </w:tc>
        <w:tc>
          <w:tcPr>
            <w:tcW w:type="dxa" w:w="3024"/>
          </w:tcPr>
          <w:p>
            <w:r>
              <w:rPr>
                <w:sz w:val="17"/>
              </w:rPr>
              <w:t>Green readiness scorecard gate (12)</w:t>
            </w:r>
          </w:p>
        </w:tc>
        <w:tc>
          <w:tcPr>
            <w:tcW w:type="dxa" w:w="1512"/>
          </w:tcPr>
          <w:p>
            <w:r>
              <w:rPr>
                <w:sz w:val="17"/>
              </w:rPr>
              <w:t>Exec Sponsor</w:t>
            </w:r>
          </w:p>
        </w:tc>
        <w:tc>
          <w:tcPr>
            <w:tcW w:type="dxa" w:w="1080"/>
          </w:tcPr>
          <w:p>
            <w:r>
              <w:rPr>
                <w:sz w:val="17"/>
              </w:rPr>
              <w:t>Phase 3</w:t>
            </w:r>
          </w:p>
        </w:tc>
      </w:tr>
      <w:tr>
        <w:tc>
          <w:tcPr>
            <w:tcW w:type="dxa" w:w="360"/>
          </w:tcPr>
          <w:p>
            <w:r>
              <w:rPr>
                <w:sz w:val="17"/>
              </w:rPr>
              <w:t>10</w:t>
            </w:r>
          </w:p>
        </w:tc>
        <w:tc>
          <w:tcPr>
            <w:tcW w:type="dxa" w:w="1944"/>
          </w:tcPr>
          <w:p>
            <w:r>
              <w:rPr>
                <w:sz w:val="17"/>
              </w:rPr>
              <w:t>Branding</w:t>
            </w:r>
          </w:p>
        </w:tc>
        <w:tc>
          <w:tcPr>
            <w:tcW w:type="dxa" w:w="2088"/>
          </w:tcPr>
          <w:p>
            <w:r>
              <w:rPr>
                <w:sz w:val="17"/>
              </w:rPr>
              <w:t>Co-branded pending written Tribe approval</w:t>
            </w:r>
          </w:p>
        </w:tc>
        <w:tc>
          <w:tcPr>
            <w:tcW w:type="dxa" w:w="3024"/>
          </w:tcPr>
          <w:p>
            <w:r>
              <w:rPr>
                <w:sz w:val="17"/>
              </w:rPr>
              <w:t>Respect sovereignty; Tribe controls name/logo (11)</w:t>
            </w:r>
          </w:p>
        </w:tc>
        <w:tc>
          <w:tcPr>
            <w:tcW w:type="dxa" w:w="1512"/>
          </w:tcPr>
          <w:p>
            <w:r>
              <w:rPr>
                <w:sz w:val="17"/>
              </w:rPr>
              <w:t>Marketing + Tribe</w:t>
            </w:r>
          </w:p>
        </w:tc>
        <w:tc>
          <w:tcPr>
            <w:tcW w:type="dxa" w:w="1080"/>
          </w:tcPr>
          <w:p>
            <w:r>
              <w:rPr>
                <w:sz w:val="17"/>
              </w:rPr>
              <w:t>Phase 3</w:t>
            </w:r>
          </w:p>
        </w:tc>
      </w:tr>
      <w:tr>
        <w:tc>
          <w:tcPr>
            <w:tcW w:type="dxa" w:w="360"/>
          </w:tcPr>
          <w:p>
            <w:r>
              <w:rPr>
                <w:sz w:val="17"/>
              </w:rPr>
              <w:t>11</w:t>
            </w:r>
          </w:p>
        </w:tc>
        <w:tc>
          <w:tcPr>
            <w:tcW w:type="dxa" w:w="1944"/>
          </w:tcPr>
          <w:p>
            <w:r>
              <w:rPr>
                <w:sz w:val="17"/>
              </w:rPr>
              <w:t>Customer migration rules</w:t>
            </w:r>
          </w:p>
        </w:tc>
        <w:tc>
          <w:tcPr>
            <w:tcW w:type="dxa" w:w="2088"/>
          </w:tcPr>
          <w:p>
            <w:r>
              <w:rPr>
                <w:sz w:val="17"/>
              </w:rPr>
              <w:t>Opt-in; existing customers keep plan + Lifeline credit or move to Senior plan</w:t>
            </w:r>
          </w:p>
        </w:tc>
        <w:tc>
          <w:tcPr>
            <w:tcW w:type="dxa" w:w="3024"/>
          </w:tcPr>
          <w:p>
            <w:r>
              <w:rPr>
                <w:sz w:val="17"/>
              </w:rPr>
              <w:t>Consent-based; avoids disruption</w:t>
            </w:r>
          </w:p>
        </w:tc>
        <w:tc>
          <w:tcPr>
            <w:tcW w:type="dxa" w:w="1512"/>
          </w:tcPr>
          <w:p>
            <w:r>
              <w:rPr>
                <w:sz w:val="17"/>
              </w:rPr>
              <w:t>Program Owner</w:t>
            </w:r>
          </w:p>
        </w:tc>
        <w:tc>
          <w:tcPr>
            <w:tcW w:type="dxa" w:w="1080"/>
          </w:tcPr>
          <w:p>
            <w:r>
              <w:rPr>
                <w:sz w:val="17"/>
              </w:rPr>
              <w:t>Phase 1</w:t>
            </w:r>
          </w:p>
        </w:tc>
      </w:tr>
      <w:tr>
        <w:tc>
          <w:tcPr>
            <w:tcW w:type="dxa" w:w="360"/>
          </w:tcPr>
          <w:p>
            <w:r>
              <w:rPr>
                <w:sz w:val="17"/>
              </w:rPr>
              <w:t>12</w:t>
            </w:r>
          </w:p>
        </w:tc>
        <w:tc>
          <w:tcPr>
            <w:tcW w:type="dxa" w:w="1944"/>
          </w:tcPr>
          <w:p>
            <w:r>
              <w:rPr>
                <w:sz w:val="17"/>
              </w:rPr>
              <w:t>Treatment of customers who lose eligibility</w:t>
            </w:r>
          </w:p>
        </w:tc>
        <w:tc>
          <w:tcPr>
            <w:tcW w:type="dxa" w:w="2088"/>
          </w:tcPr>
          <w:p>
            <w:r>
              <w:rPr>
                <w:sz w:val="17"/>
              </w:rPr>
              <w:t>Prospective conversion to retail; notice; NO retroactive billing</w:t>
            </w:r>
          </w:p>
        </w:tc>
        <w:tc>
          <w:tcPr>
            <w:tcW w:type="dxa" w:w="3024"/>
          </w:tcPr>
          <w:p>
            <w:r>
              <w:rPr>
                <w:sz w:val="17"/>
              </w:rPr>
              <w:t>Compliance rule; future-dated reversals only (SR, 05)</w:t>
            </w:r>
          </w:p>
        </w:tc>
        <w:tc>
          <w:tcPr>
            <w:tcW w:type="dxa" w:w="1512"/>
          </w:tcPr>
          <w:p>
            <w:r>
              <w:rPr>
                <w:sz w:val="17"/>
              </w:rPr>
              <w:t>Compliance</w:t>
            </w:r>
          </w:p>
        </w:tc>
        <w:tc>
          <w:tcPr>
            <w:tcW w:type="dxa" w:w="1080"/>
          </w:tcPr>
          <w:p>
            <w:r>
              <w:rPr>
                <w:sz w:val="17"/>
              </w:rPr>
              <w:t>Phase 1</w:t>
            </w:r>
          </w:p>
        </w:tc>
      </w:tr>
      <w:tr>
        <w:tc>
          <w:tcPr>
            <w:tcW w:type="dxa" w:w="360"/>
          </w:tcPr>
          <w:p>
            <w:r>
              <w:rPr>
                <w:sz w:val="17"/>
              </w:rPr>
              <w:t>13</w:t>
            </w:r>
          </w:p>
        </w:tc>
        <w:tc>
          <w:tcPr>
            <w:tcW w:type="dxa" w:w="1944"/>
          </w:tcPr>
          <w:p>
            <w:r>
              <w:rPr>
                <w:sz w:val="17"/>
              </w:rPr>
              <w:t>Tax treatment</w:t>
            </w:r>
          </w:p>
        </w:tc>
        <w:tc>
          <w:tcPr>
            <w:tcW w:type="dxa" w:w="2088"/>
          </w:tcPr>
          <w:p>
            <w:r>
              <w:rPr>
                <w:sz w:val="17"/>
              </w:rPr>
              <w:t>Obtain tax opinion; no 'plus tax' until confirmed</w:t>
            </w:r>
          </w:p>
        </w:tc>
        <w:tc>
          <w:tcPr>
            <w:tcW w:type="dxa" w:w="3024"/>
          </w:tcPr>
          <w:p>
            <w:r>
              <w:rPr>
                <w:sz w:val="17"/>
              </w:rPr>
              <w:t>ITFA bars internet-access tax; other components pending (SR-9)</w:t>
            </w:r>
          </w:p>
        </w:tc>
        <w:tc>
          <w:tcPr>
            <w:tcW w:type="dxa" w:w="1512"/>
          </w:tcPr>
          <w:p>
            <w:r>
              <w:rPr>
                <w:sz w:val="17"/>
              </w:rPr>
              <w:t>Tax Advisor + CFO</w:t>
            </w:r>
          </w:p>
        </w:tc>
        <w:tc>
          <w:tcPr>
            <w:tcW w:type="dxa" w:w="1080"/>
          </w:tcPr>
          <w:p>
            <w:r>
              <w:rPr>
                <w:sz w:val="17"/>
              </w:rPr>
              <w:t>Before launch</w:t>
            </w:r>
          </w:p>
        </w:tc>
      </w:tr>
      <w:tr>
        <w:tc>
          <w:tcPr>
            <w:tcW w:type="dxa" w:w="360"/>
          </w:tcPr>
          <w:p>
            <w:r>
              <w:rPr>
                <w:sz w:val="17"/>
              </w:rPr>
              <w:t>14</w:t>
            </w:r>
          </w:p>
        </w:tc>
        <w:tc>
          <w:tcPr>
            <w:tcW w:type="dxa" w:w="1944"/>
          </w:tcPr>
          <w:p>
            <w:r>
              <w:rPr>
                <w:sz w:val="17"/>
              </w:rPr>
              <w:t>Enhanced Tribal legal determination</w:t>
            </w:r>
          </w:p>
        </w:tc>
        <w:tc>
          <w:tcPr>
            <w:tcW w:type="dxa" w:w="2088"/>
          </w:tcPr>
          <w:p>
            <w:r>
              <w:rPr>
                <w:sz w:val="17"/>
              </w:rPr>
              <w:t>Obtain written USAC/legal determination; assume 0 until confirmed</w:t>
            </w:r>
          </w:p>
        </w:tc>
        <w:tc>
          <w:tcPr>
            <w:tcW w:type="dxa" w:w="3024"/>
          </w:tcPr>
          <w:p>
            <w:r>
              <w:rPr>
                <w:sz w:val="17"/>
              </w:rPr>
              <w:t>Membership/county ≠ Tribal lands; §54.400(e)/§54.412 (SR-4, SR-5)</w:t>
            </w:r>
          </w:p>
        </w:tc>
        <w:tc>
          <w:tcPr>
            <w:tcW w:type="dxa" w:w="1512"/>
          </w:tcPr>
          <w:p>
            <w:r>
              <w:rPr>
                <w:sz w:val="17"/>
              </w:rPr>
              <w:t>Reg. Counsel + USAC</w:t>
            </w:r>
          </w:p>
        </w:tc>
        <w:tc>
          <w:tcPr>
            <w:tcW w:type="dxa" w:w="1080"/>
          </w:tcPr>
          <w:p>
            <w:r>
              <w:rPr>
                <w:sz w:val="17"/>
              </w:rPr>
              <w:t>Before enroll</w:t>
            </w:r>
          </w:p>
        </w:tc>
      </w:tr>
    </w:tbl>
    <w:p>
      <w:pPr>
        <w:pStyle w:val="Heading1"/>
      </w:pPr>
      <w:r>
        <w:t>12. Deliverables index</w:t>
      </w:r>
    </w:p>
    <w:tbl>
      <w:tblPr>
        <w:tblStyle w:val="TableGrid"/>
        <w:tblW w:type="auto" w:w="0"/>
        <w:jc w:val="center"/>
        <w:tblLook w:firstColumn="1" w:firstRow="1" w:lastColumn="0" w:lastRow="0" w:noHBand="0" w:noVBand="1" w:val="04A0"/>
      </w:tblPr>
      <w:tblGrid>
        <w:gridCol w:w="2880"/>
        <w:gridCol w:w="2880"/>
        <w:gridCol w:w="2880"/>
      </w:tblGrid>
      <w:tr>
        <w:tc>
          <w:tcPr>
            <w:tcW w:type="dxa" w:w="720"/>
            <w:shd w:val="clear" w:fill="2E5496"/>
          </w:tcPr>
          <w:p>
            <w:r>
              <w:rPr>
                <w:b/>
                <w:color w:val="FFFFFF"/>
                <w:sz w:val="18"/>
              </w:rPr>
              <w:t>#</w:t>
            </w:r>
          </w:p>
        </w:tc>
        <w:tc>
          <w:tcPr>
            <w:tcW w:type="dxa" w:w="7632"/>
            <w:shd w:val="clear" w:fill="2E5496"/>
          </w:tcPr>
          <w:p>
            <w:r>
              <w:rPr>
                <w:b/>
                <w:color w:val="FFFFFF"/>
                <w:sz w:val="18"/>
              </w:rPr>
              <w:t>Deliverable</w:t>
            </w:r>
          </w:p>
        </w:tc>
        <w:tc>
          <w:tcPr>
            <w:tcW w:type="dxa" w:w="1728"/>
            <w:shd w:val="clear" w:fill="2E5496"/>
          </w:tcPr>
          <w:p>
            <w:r>
              <w:rPr>
                <w:b/>
                <w:color w:val="FFFFFF"/>
                <w:sz w:val="18"/>
              </w:rPr>
              <w:t>Format</w:t>
            </w:r>
          </w:p>
        </w:tc>
      </w:tr>
      <w:tr>
        <w:tc>
          <w:tcPr>
            <w:tcW w:type="dxa" w:w="720"/>
          </w:tcPr>
          <w:p>
            <w:r>
              <w:rPr>
                <w:sz w:val="17"/>
              </w:rPr>
              <w:t>00</w:t>
            </w:r>
          </w:p>
        </w:tc>
        <w:tc>
          <w:tcPr>
            <w:tcW w:type="dxa" w:w="7632"/>
          </w:tcPr>
          <w:p>
            <w:r>
              <w:rPr>
                <w:sz w:val="17"/>
              </w:rPr>
              <w:t>Regulatory Source Register &amp; Verified-Facts Base</w:t>
            </w:r>
          </w:p>
        </w:tc>
        <w:tc>
          <w:tcPr>
            <w:tcW w:type="dxa" w:w="1728"/>
          </w:tcPr>
          <w:p>
            <w:r>
              <w:rPr>
                <w:sz w:val="17"/>
              </w:rPr>
              <w:t>Markdown</w:t>
            </w:r>
          </w:p>
        </w:tc>
      </w:tr>
      <w:tr>
        <w:tc>
          <w:tcPr>
            <w:tcW w:type="dxa" w:w="720"/>
          </w:tcPr>
          <w:p>
            <w:r>
              <w:rPr>
                <w:sz w:val="17"/>
              </w:rPr>
              <w:t>01</w:t>
            </w:r>
          </w:p>
        </w:tc>
        <w:tc>
          <w:tcPr>
            <w:tcW w:type="dxa" w:w="7632"/>
          </w:tcPr>
          <w:p>
            <w:r>
              <w:rPr>
                <w:sz w:val="17"/>
              </w:rPr>
              <w:t>Executive Implementation Plan (this document)</w:t>
            </w:r>
          </w:p>
        </w:tc>
        <w:tc>
          <w:tcPr>
            <w:tcW w:type="dxa" w:w="1728"/>
          </w:tcPr>
          <w:p>
            <w:r>
              <w:rPr>
                <w:sz w:val="17"/>
              </w:rPr>
              <w:t>Word</w:t>
            </w:r>
          </w:p>
        </w:tc>
      </w:tr>
      <w:tr>
        <w:tc>
          <w:tcPr>
            <w:tcW w:type="dxa" w:w="720"/>
          </w:tcPr>
          <w:p>
            <w:r>
              <w:rPr>
                <w:sz w:val="17"/>
              </w:rPr>
              <w:t>02</w:t>
            </w:r>
          </w:p>
        </w:tc>
        <w:tc>
          <w:tcPr>
            <w:tcW w:type="dxa" w:w="7632"/>
          </w:tcPr>
          <w:p>
            <w:r>
              <w:rPr>
                <w:sz w:val="17"/>
              </w:rPr>
              <w:t>Current Plan &amp; Pricing Audit</w:t>
            </w:r>
          </w:p>
        </w:tc>
        <w:tc>
          <w:tcPr>
            <w:tcW w:type="dxa" w:w="1728"/>
          </w:tcPr>
          <w:p>
            <w:r>
              <w:rPr>
                <w:sz w:val="17"/>
              </w:rPr>
              <w:t>Excel</w:t>
            </w:r>
          </w:p>
        </w:tc>
      </w:tr>
      <w:tr>
        <w:tc>
          <w:tcPr>
            <w:tcW w:type="dxa" w:w="720"/>
          </w:tcPr>
          <w:p>
            <w:r>
              <w:rPr>
                <w:sz w:val="17"/>
              </w:rPr>
              <w:t>03</w:t>
            </w:r>
          </w:p>
        </w:tc>
        <w:tc>
          <w:tcPr>
            <w:tcW w:type="dxa" w:w="7632"/>
          </w:tcPr>
          <w:p>
            <w:r>
              <w:rPr>
                <w:sz w:val="17"/>
              </w:rPr>
              <w:t>Lifeline Operations Manual</w:t>
            </w:r>
          </w:p>
        </w:tc>
        <w:tc>
          <w:tcPr>
            <w:tcW w:type="dxa" w:w="1728"/>
          </w:tcPr>
          <w:p>
            <w:r>
              <w:rPr>
                <w:sz w:val="17"/>
              </w:rPr>
              <w:t>Word</w:t>
            </w:r>
          </w:p>
        </w:tc>
      </w:tr>
      <w:tr>
        <w:tc>
          <w:tcPr>
            <w:tcW w:type="dxa" w:w="720"/>
          </w:tcPr>
          <w:p>
            <w:r>
              <w:rPr>
                <w:sz w:val="17"/>
              </w:rPr>
              <w:t>04</w:t>
            </w:r>
          </w:p>
        </w:tc>
        <w:tc>
          <w:tcPr>
            <w:tcW w:type="dxa" w:w="7632"/>
          </w:tcPr>
          <w:p>
            <w:r>
              <w:rPr>
                <w:sz w:val="17"/>
              </w:rPr>
              <w:t>Enrollment &amp; De-enrollment SOPs</w:t>
            </w:r>
          </w:p>
        </w:tc>
        <w:tc>
          <w:tcPr>
            <w:tcW w:type="dxa" w:w="1728"/>
          </w:tcPr>
          <w:p>
            <w:r>
              <w:rPr>
                <w:sz w:val="17"/>
              </w:rPr>
              <w:t>Word</w:t>
            </w:r>
          </w:p>
        </w:tc>
      </w:tr>
      <w:tr>
        <w:tc>
          <w:tcPr>
            <w:tcW w:type="dxa" w:w="720"/>
          </w:tcPr>
          <w:p>
            <w:r>
              <w:rPr>
                <w:sz w:val="17"/>
              </w:rPr>
              <w:t>05</w:t>
            </w:r>
          </w:p>
        </w:tc>
        <w:tc>
          <w:tcPr>
            <w:tcW w:type="dxa" w:w="7632"/>
          </w:tcPr>
          <w:p>
            <w:r>
              <w:rPr>
                <w:sz w:val="17"/>
              </w:rPr>
              <w:t>NISC Configuration &amp; Billing Specification</w:t>
            </w:r>
          </w:p>
        </w:tc>
        <w:tc>
          <w:tcPr>
            <w:tcW w:type="dxa" w:w="1728"/>
          </w:tcPr>
          <w:p>
            <w:r>
              <w:rPr>
                <w:sz w:val="17"/>
              </w:rPr>
              <w:t>Word</w:t>
            </w:r>
          </w:p>
        </w:tc>
      </w:tr>
      <w:tr>
        <w:tc>
          <w:tcPr>
            <w:tcW w:type="dxa" w:w="720"/>
          </w:tcPr>
          <w:p>
            <w:r>
              <w:rPr>
                <w:sz w:val="17"/>
              </w:rPr>
              <w:t>06</w:t>
            </w:r>
          </w:p>
        </w:tc>
        <w:tc>
          <w:tcPr>
            <w:tcW w:type="dxa" w:w="7632"/>
          </w:tcPr>
          <w:p>
            <w:r>
              <w:rPr>
                <w:sz w:val="17"/>
              </w:rPr>
              <w:t>Lifeline Financial Model</w:t>
            </w:r>
          </w:p>
        </w:tc>
        <w:tc>
          <w:tcPr>
            <w:tcW w:type="dxa" w:w="1728"/>
          </w:tcPr>
          <w:p>
            <w:r>
              <w:rPr>
                <w:sz w:val="17"/>
              </w:rPr>
              <w:t>Excel</w:t>
            </w:r>
          </w:p>
        </w:tc>
      </w:tr>
      <w:tr>
        <w:tc>
          <w:tcPr>
            <w:tcW w:type="dxa" w:w="720"/>
          </w:tcPr>
          <w:p>
            <w:r>
              <w:rPr>
                <w:sz w:val="17"/>
              </w:rPr>
              <w:t>07</w:t>
            </w:r>
          </w:p>
        </w:tc>
        <w:tc>
          <w:tcPr>
            <w:tcW w:type="dxa" w:w="7632"/>
          </w:tcPr>
          <w:p>
            <w:r>
              <w:rPr>
                <w:sz w:val="17"/>
              </w:rPr>
              <w:t>Compliance &amp; Audit Checklist</w:t>
            </w:r>
          </w:p>
        </w:tc>
        <w:tc>
          <w:tcPr>
            <w:tcW w:type="dxa" w:w="1728"/>
          </w:tcPr>
          <w:p>
            <w:r>
              <w:rPr>
                <w:sz w:val="17"/>
              </w:rPr>
              <w:t>Excel</w:t>
            </w:r>
          </w:p>
        </w:tc>
      </w:tr>
      <w:tr>
        <w:tc>
          <w:tcPr>
            <w:tcW w:type="dxa" w:w="720"/>
          </w:tcPr>
          <w:p>
            <w:r>
              <w:rPr>
                <w:sz w:val="17"/>
              </w:rPr>
              <w:t>08</w:t>
            </w:r>
          </w:p>
        </w:tc>
        <w:tc>
          <w:tcPr>
            <w:tcW w:type="dxa" w:w="7632"/>
          </w:tcPr>
          <w:p>
            <w:r>
              <w:rPr>
                <w:sz w:val="17"/>
              </w:rPr>
              <w:t>Implementation Roadmap &amp; RACI</w:t>
            </w:r>
          </w:p>
        </w:tc>
        <w:tc>
          <w:tcPr>
            <w:tcW w:type="dxa" w:w="1728"/>
          </w:tcPr>
          <w:p>
            <w:r>
              <w:rPr>
                <w:sz w:val="17"/>
              </w:rPr>
              <w:t>Excel</w:t>
            </w:r>
          </w:p>
        </w:tc>
      </w:tr>
      <w:tr>
        <w:tc>
          <w:tcPr>
            <w:tcW w:type="dxa" w:w="720"/>
          </w:tcPr>
          <w:p>
            <w:r>
              <w:rPr>
                <w:sz w:val="17"/>
              </w:rPr>
              <w:t>09</w:t>
            </w:r>
          </w:p>
        </w:tc>
        <w:tc>
          <w:tcPr>
            <w:tcW w:type="dxa" w:w="7632"/>
          </w:tcPr>
          <w:p>
            <w:r>
              <w:rPr>
                <w:sz w:val="17"/>
              </w:rPr>
              <w:t>Customer Communications Toolkit</w:t>
            </w:r>
          </w:p>
        </w:tc>
        <w:tc>
          <w:tcPr>
            <w:tcW w:type="dxa" w:w="1728"/>
          </w:tcPr>
          <w:p>
            <w:r>
              <w:rPr>
                <w:sz w:val="17"/>
              </w:rPr>
              <w:t>Word</w:t>
            </w:r>
          </w:p>
        </w:tc>
      </w:tr>
      <w:tr>
        <w:tc>
          <w:tcPr>
            <w:tcW w:type="dxa" w:w="720"/>
          </w:tcPr>
          <w:p>
            <w:r>
              <w:rPr>
                <w:sz w:val="17"/>
              </w:rPr>
              <w:t>10</w:t>
            </w:r>
          </w:p>
        </w:tc>
        <w:tc>
          <w:tcPr>
            <w:tcW w:type="dxa" w:w="7632"/>
          </w:tcPr>
          <w:p>
            <w:r>
              <w:rPr>
                <w:sz w:val="17"/>
              </w:rPr>
              <w:t>Employee Training Guide</w:t>
            </w:r>
          </w:p>
        </w:tc>
        <w:tc>
          <w:tcPr>
            <w:tcW w:type="dxa" w:w="1728"/>
          </w:tcPr>
          <w:p>
            <w:r>
              <w:rPr>
                <w:sz w:val="17"/>
              </w:rPr>
              <w:t>Word</w:t>
            </w:r>
          </w:p>
        </w:tc>
      </w:tr>
      <w:tr>
        <w:tc>
          <w:tcPr>
            <w:tcW w:type="dxa" w:w="720"/>
          </w:tcPr>
          <w:p>
            <w:r>
              <w:rPr>
                <w:sz w:val="17"/>
              </w:rPr>
              <w:t>11</w:t>
            </w:r>
          </w:p>
        </w:tc>
        <w:tc>
          <w:tcPr>
            <w:tcW w:type="dxa" w:w="7632"/>
          </w:tcPr>
          <w:p>
            <w:r>
              <w:rPr>
                <w:sz w:val="17"/>
              </w:rPr>
              <w:t>Lumbee Tribe Partnership MOU Exhibit</w:t>
            </w:r>
          </w:p>
        </w:tc>
        <w:tc>
          <w:tcPr>
            <w:tcW w:type="dxa" w:w="1728"/>
          </w:tcPr>
          <w:p>
            <w:r>
              <w:rPr>
                <w:sz w:val="17"/>
              </w:rPr>
              <w:t>Word</w:t>
            </w:r>
          </w:p>
        </w:tc>
      </w:tr>
      <w:tr>
        <w:tc>
          <w:tcPr>
            <w:tcW w:type="dxa" w:w="720"/>
          </w:tcPr>
          <w:p>
            <w:r>
              <w:rPr>
                <w:sz w:val="17"/>
              </w:rPr>
              <w:t>12</w:t>
            </w:r>
          </w:p>
        </w:tc>
        <w:tc>
          <w:tcPr>
            <w:tcW w:type="dxa" w:w="7632"/>
          </w:tcPr>
          <w:p>
            <w:r>
              <w:rPr>
                <w:sz w:val="17"/>
              </w:rPr>
              <w:t>Executive Readiness Scorecard</w:t>
            </w:r>
          </w:p>
        </w:tc>
        <w:tc>
          <w:tcPr>
            <w:tcW w:type="dxa" w:w="1728"/>
          </w:tcPr>
          <w:p>
            <w:r>
              <w:rPr>
                <w:sz w:val="17"/>
              </w:rPr>
              <w:t>Excel</w:t>
            </w:r>
          </w:p>
        </w:tc>
      </w:tr>
      <w:tr>
        <w:tc>
          <w:tcPr>
            <w:tcW w:type="dxa" w:w="720"/>
          </w:tcPr>
          <w:p>
            <w:r>
              <w:rPr>
                <w:sz w:val="17"/>
              </w:rPr>
              <w:t>13</w:t>
            </w:r>
          </w:p>
        </w:tc>
        <w:tc>
          <w:tcPr>
            <w:tcW w:type="dxa" w:w="7632"/>
          </w:tcPr>
          <w:p>
            <w:r>
              <w:rPr>
                <w:sz w:val="17"/>
              </w:rPr>
              <w:t>Open Issues &amp; Legal Decisions Log</w:t>
            </w:r>
          </w:p>
        </w:tc>
        <w:tc>
          <w:tcPr>
            <w:tcW w:type="dxa" w:w="1728"/>
          </w:tcPr>
          <w:p>
            <w:r>
              <w:rPr>
                <w:sz w:val="17"/>
              </w:rPr>
              <w:t>Excel</w:t>
            </w:r>
          </w:p>
        </w:tc>
      </w:tr>
    </w:tbl>
    <w:p>
      <w:r>
        <w:rPr>
          <w:b w:val="0"/>
          <w:i/>
          <w:color w:val="595959"/>
          <w:sz w:val="18"/>
        </w:rPr>
        <w:t>Note: Deliverables are provided in editable Office formats (.docx/.xlsx) rather than the originally-listed static formats, and a Regulatory Source Register (00) was added as the shared citation base. All Excel models use visible formulas and editable, color-coded assumption cells.</w:t>
      </w:r>
    </w:p>
    <w:p>
      <w:r>
        <w:br w:type="page"/>
      </w:r>
    </w:p>
    <w:p>
      <w:pPr>
        <w:pStyle w:val="Heading2"/>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E5496"/>
          </w:tcPr>
          <w:p>
            <w:r>
              <w:rPr>
                <w:b/>
                <w:color w:val="FFFFFF"/>
                <w:sz w:val="19"/>
              </w:rPr>
              <w:t>Version</w:t>
            </w:r>
          </w:p>
        </w:tc>
        <w:tc>
          <w:tcPr>
            <w:tcW w:type="dxa" w:w="1728"/>
            <w:shd w:val="clear" w:fill="2E5496"/>
          </w:tcPr>
          <w:p>
            <w:r>
              <w:rPr>
                <w:b/>
                <w:color w:val="FFFFFF"/>
                <w:sz w:val="19"/>
              </w:rPr>
              <w:t>Date</w:t>
            </w:r>
          </w:p>
        </w:tc>
        <w:tc>
          <w:tcPr>
            <w:tcW w:type="dxa" w:w="1728"/>
            <w:shd w:val="clear" w:fill="2E5496"/>
          </w:tcPr>
          <w:p>
            <w:r>
              <w:rPr>
                <w:b/>
                <w:color w:val="FFFFFF"/>
                <w:sz w:val="19"/>
              </w:rPr>
              <w:t>Author</w:t>
            </w:r>
          </w:p>
        </w:tc>
        <w:tc>
          <w:tcPr>
            <w:tcW w:type="dxa" w:w="1728"/>
            <w:shd w:val="clear" w:fill="2E5496"/>
          </w:tcPr>
          <w:p>
            <w:r>
              <w:rPr>
                <w:b/>
                <w:color w:val="FFFFFF"/>
                <w:sz w:val="19"/>
              </w:rPr>
              <w:t>Summary of change</w:t>
            </w:r>
          </w:p>
        </w:tc>
        <w:tc>
          <w:tcPr>
            <w:tcW w:type="dxa" w:w="1728"/>
            <w:shd w:val="clear" w:fill="2E5496"/>
          </w:tcPr>
          <w:p>
            <w:r>
              <w:rPr>
                <w:b/>
                <w:color w:val="FFFFFF"/>
                <w:sz w:val="19"/>
              </w:rPr>
              <w:t>Approved by</w:t>
            </w:r>
          </w:p>
        </w:tc>
      </w:tr>
      <w:tr>
        <w:tc>
          <w:tcPr>
            <w:tcW w:type="dxa" w:w="1728"/>
          </w:tcPr>
          <w:p>
            <w:r>
              <w:rPr>
                <w:sz w:val="19"/>
              </w:rPr>
              <w:t>v0.1</w:t>
            </w:r>
          </w:p>
        </w:tc>
        <w:tc>
          <w:tcPr>
            <w:tcW w:type="dxa" w:w="1728"/>
          </w:tcPr>
          <w:p>
            <w:r>
              <w:rPr>
                <w:sz w:val="19"/>
              </w:rPr>
              <w:t>(build)</w:t>
            </w:r>
          </w:p>
        </w:tc>
        <w:tc>
          <w:tcPr>
            <w:tcW w:type="dxa" w:w="1728"/>
          </w:tcPr>
          <w:p>
            <w:r>
              <w:rPr>
                <w:sz w:val="19"/>
              </w:rPr>
              <w:t>Program build</w:t>
            </w:r>
          </w:p>
        </w:tc>
        <w:tc>
          <w:tcPr>
            <w:tcW w:type="dxa" w:w="1728"/>
          </w:tcPr>
          <w:p>
            <w:r>
              <w:rPr>
                <w:sz w:val="19"/>
              </w:rPr>
              <w:t>Initial draft for internal review</w:t>
            </w:r>
          </w:p>
        </w:tc>
        <w:tc>
          <w:tcPr>
            <w:tcW w:type="dxa" w:w="1728"/>
          </w:tcPr>
          <w:p>
            <w:r>
              <w:rPr>
                <w:sz w:val="19"/>
              </w:rPr>
              <w:t>(pending)</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bl>
    <w:p/>
    <w:p>
      <w:r>
        <w:rPr>
          <w:b w:val="0"/>
          <w:i/>
          <w:color w:val="595959"/>
          <w:sz w:val="18"/>
        </w:rPr>
        <w:t>This is a build-phase draft. All figures, prices, and regulatory determinations are subject to confirmation per the Open Issues &amp; Legal Decisions Log (Deliverable 13) and the Regulatory Source Register (Deliverable 00). Do not launch, market, or bill against this document until the final NCUC ETC order is issued and USAC onboarding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