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Enrollment &amp; De-enrollment SOPs</w:t>
      </w:r>
    </w:p>
    <w:p>
      <w:r>
        <w:rPr>
          <w:color w:val="2E5496"/>
          <w:sz w:val="26"/>
        </w:rPr>
        <w:t>Step-by-step operating procedures for the RIVR Tech Lifeline &amp; Lumbee Broadband Affordability Initiative</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04 — Enrollment &amp; De-enrollment Standard Operating Procedures</w:t>
            </w:r>
          </w:p>
        </w:tc>
      </w:tr>
      <w:tr>
        <w:tc>
          <w:tcPr>
            <w:tcW w:type="dxa" w:w="4320"/>
          </w:tcPr>
          <w:p>
            <w:r>
              <w:rPr>
                <w:b/>
              </w:rPr>
              <w:t>Document owner</w:t>
            </w:r>
          </w:p>
        </w:tc>
        <w:tc>
          <w:tcPr>
            <w:tcW w:type="dxa" w:w="4320"/>
          </w:tcPr>
          <w:p>
            <w:r>
              <w:t>Customer Service Manager + Compliance Officer</w:t>
            </w:r>
          </w:p>
        </w:tc>
      </w:tr>
      <w:tr>
        <w:tc>
          <w:tcPr>
            <w:tcW w:type="dxa" w:w="4320"/>
          </w:tcPr>
          <w:p>
            <w:r>
              <w:rPr>
                <w:b/>
              </w:rPr>
              <w:t>Approval / sign-off</w:t>
            </w:r>
          </w:p>
        </w:tc>
        <w:tc>
          <w:tcPr>
            <w:tcW w:type="dxa" w:w="4320"/>
          </w:tcPr>
          <w:p>
            <w:r>
              <w:t>________________________  (Customer Service Manager)   ________________________  (Compliance Officer)   ____/____/____</w:t>
            </w:r>
          </w:p>
        </w:tc>
      </w:tr>
      <w:tr>
        <w:tc>
          <w:tcPr>
            <w:tcW w:type="dxa" w:w="4320"/>
          </w:tcPr>
          <w:p>
            <w:r>
              <w:rPr>
                <w:b/>
              </w:rPr>
              <w:t>Version</w:t>
            </w:r>
          </w:p>
        </w:tc>
        <w:tc>
          <w:tcPr>
            <w:tcW w:type="dxa" w:w="4320"/>
          </w:tcPr>
          <w:p>
            <w:r>
              <w:t>v0.1 — DRAFT (build phase, ETC application pending)</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These SOPs assume RIVR Tech is a designated ETC with active USAC systems access (NV, NLAD, RAD, LCS). RIVR Tech is NOT yet a designated ETC (SR-7.4). Do NOT enroll live subscribers until the final NCUC ETC order issues and USAC onboarding (SAC, 498 ID, NV/NLAD access, Rep IDs) is complete (SR-6). Roles, systems, and account references below are operational placeholders to be finalized at go-live.</w:t>
            </w:r>
          </w:p>
        </w:tc>
      </w:tr>
    </w:tbl>
    <w:p>
      <w:r>
        <w:br w:type="page"/>
      </w:r>
    </w:p>
    <w:p>
      <w:pPr>
        <w:pStyle w:val="Heading1"/>
      </w:pPr>
      <w:r>
        <w:t>Table of Contents</w:t>
      </w:r>
    </w:p>
    <w:p>
      <w:r/>
      <w:fldSimple w:instr="TOC \o &quot;1-3&quot; \h \z \u">
        <w:r>
          <w:t>Right-click and 'Update Field' to build the table of contents.</w:t>
        </w:r>
      </w:fldSimple>
    </w:p>
    <w:p>
      <w:r>
        <w:br w:type="page"/>
      </w:r>
    </w:p>
    <w:p>
      <w:pPr>
        <w:pStyle w:val="Heading1"/>
      </w:pPr>
      <w:r>
        <w:t>How to read these SOPs</w:t>
      </w:r>
    </w:p>
    <w:p>
      <w:r>
        <w:rPr>
          <w:b w:val="0"/>
          <w:i w:val="0"/>
          <w:sz w:val="21"/>
        </w:rPr>
        <w:t>Every workflow in this document names WHO performs each step (role), the SYSTEM used, and finishes with a quality-control (QC) and secure-retention step. The role and system shorthand below is used throughout.</w:t>
      </w:r>
    </w:p>
    <w:p>
      <w:pPr>
        <w:pStyle w:val="Heading3"/>
      </w:pPr>
      <w:r>
        <w:t>Roles</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fill="2E5496"/>
          </w:tcPr>
          <w:p>
            <w:r>
              <w:rPr>
                <w:b/>
                <w:color w:val="FFFFFF"/>
                <w:sz w:val="19"/>
              </w:rPr>
              <w:t>Shorthand</w:t>
            </w:r>
          </w:p>
        </w:tc>
        <w:tc>
          <w:tcPr>
            <w:tcW w:type="dxa" w:w="2880"/>
            <w:shd w:val="clear" w:fill="2E5496"/>
          </w:tcPr>
          <w:p>
            <w:r>
              <w:rPr>
                <w:b/>
                <w:color w:val="FFFFFF"/>
                <w:sz w:val="19"/>
              </w:rPr>
              <w:t>Role</w:t>
            </w:r>
          </w:p>
        </w:tc>
        <w:tc>
          <w:tcPr>
            <w:tcW w:type="dxa" w:w="5472"/>
            <w:shd w:val="clear" w:fill="2E5496"/>
          </w:tcPr>
          <w:p>
            <w:r>
              <w:rPr>
                <w:b/>
                <w:color w:val="FFFFFF"/>
                <w:sz w:val="19"/>
              </w:rPr>
              <w:t>Primary responsibility</w:t>
            </w:r>
          </w:p>
        </w:tc>
      </w:tr>
      <w:tr>
        <w:tc>
          <w:tcPr>
            <w:tcW w:type="dxa" w:w="1440"/>
          </w:tcPr>
          <w:p>
            <w:r>
              <w:rPr>
                <w:sz w:val="19"/>
              </w:rPr>
              <w:t>ER</w:t>
            </w:r>
          </w:p>
        </w:tc>
        <w:tc>
          <w:tcPr>
            <w:tcW w:type="dxa" w:w="2880"/>
          </w:tcPr>
          <w:p>
            <w:r>
              <w:rPr>
                <w:sz w:val="19"/>
              </w:rPr>
              <w:t>Enrollment Representative</w:t>
            </w:r>
          </w:p>
        </w:tc>
        <w:tc>
          <w:tcPr>
            <w:tcW w:type="dxa" w:w="5472"/>
          </w:tcPr>
          <w:p>
            <w:r>
              <w:rPr>
                <w:sz w:val="19"/>
              </w:rPr>
              <w:t>Front-line intake; must hold a RAD Rep ID (SR-6.6) before enrolling anyone.</w:t>
            </w:r>
          </w:p>
        </w:tc>
      </w:tr>
      <w:tr>
        <w:tc>
          <w:tcPr>
            <w:tcW w:type="dxa" w:w="1440"/>
          </w:tcPr>
          <w:p>
            <w:r>
              <w:rPr>
                <w:sz w:val="19"/>
              </w:rPr>
              <w:t>CSR</w:t>
            </w:r>
          </w:p>
        </w:tc>
        <w:tc>
          <w:tcPr>
            <w:tcW w:type="dxa" w:w="2880"/>
          </w:tcPr>
          <w:p>
            <w:r>
              <w:rPr>
                <w:sz w:val="19"/>
              </w:rPr>
              <w:t>Customer Service Rep</w:t>
            </w:r>
          </w:p>
        </w:tc>
        <w:tc>
          <w:tcPr>
            <w:tcW w:type="dxa" w:w="5472"/>
          </w:tcPr>
          <w:p>
            <w:r>
              <w:rPr>
                <w:sz w:val="19"/>
              </w:rPr>
              <w:t>Phone/in-person intake, service orders, notices.</w:t>
            </w:r>
          </w:p>
        </w:tc>
      </w:tr>
      <w:tr>
        <w:tc>
          <w:tcPr>
            <w:tcW w:type="dxa" w:w="1440"/>
          </w:tcPr>
          <w:p>
            <w:r>
              <w:rPr>
                <w:sz w:val="19"/>
              </w:rPr>
              <w:t>QC</w:t>
            </w:r>
          </w:p>
        </w:tc>
        <w:tc>
          <w:tcPr>
            <w:tcW w:type="dxa" w:w="2880"/>
          </w:tcPr>
          <w:p>
            <w:r>
              <w:rPr>
                <w:sz w:val="19"/>
              </w:rPr>
              <w:t>QC Reviewer</w:t>
            </w:r>
          </w:p>
        </w:tc>
        <w:tc>
          <w:tcPr>
            <w:tcW w:type="dxa" w:w="5472"/>
          </w:tcPr>
          <w:p>
            <w:r>
              <w:rPr>
                <w:sz w:val="19"/>
              </w:rPr>
              <w:t>Independent second-person review of every completed enrollment before it is claimed.</w:t>
            </w:r>
          </w:p>
        </w:tc>
      </w:tr>
      <w:tr>
        <w:tc>
          <w:tcPr>
            <w:tcW w:type="dxa" w:w="1440"/>
          </w:tcPr>
          <w:p>
            <w:r>
              <w:rPr>
                <w:sz w:val="19"/>
              </w:rPr>
              <w:t>CSM</w:t>
            </w:r>
          </w:p>
        </w:tc>
        <w:tc>
          <w:tcPr>
            <w:tcW w:type="dxa" w:w="2880"/>
          </w:tcPr>
          <w:p>
            <w:r>
              <w:rPr>
                <w:sz w:val="19"/>
              </w:rPr>
              <w:t>Customer Service Manager</w:t>
            </w:r>
          </w:p>
        </w:tc>
        <w:tc>
          <w:tcPr>
            <w:tcW w:type="dxa" w:w="5472"/>
          </w:tcPr>
          <w:p>
            <w:r>
              <w:rPr>
                <w:sz w:val="19"/>
              </w:rPr>
              <w:t>Owns the enrollment workflow; escalation point; co-owner of this SOP.</w:t>
            </w:r>
          </w:p>
        </w:tc>
      </w:tr>
      <w:tr>
        <w:tc>
          <w:tcPr>
            <w:tcW w:type="dxa" w:w="1440"/>
          </w:tcPr>
          <w:p>
            <w:r>
              <w:rPr>
                <w:sz w:val="19"/>
              </w:rPr>
              <w:t>CO</w:t>
            </w:r>
          </w:p>
        </w:tc>
        <w:tc>
          <w:tcPr>
            <w:tcW w:type="dxa" w:w="2880"/>
          </w:tcPr>
          <w:p>
            <w:r>
              <w:rPr>
                <w:sz w:val="19"/>
              </w:rPr>
              <w:t>Compliance Officer</w:t>
            </w:r>
          </w:p>
        </w:tc>
        <w:tc>
          <w:tcPr>
            <w:tcW w:type="dxa" w:w="5472"/>
          </w:tcPr>
          <w:p>
            <w:r>
              <w:rPr>
                <w:sz w:val="19"/>
              </w:rPr>
              <w:t>Owns NV/NLAD/eligibility integrity, recertification, de-enrollment; co-owner.</w:t>
            </w:r>
          </w:p>
        </w:tc>
      </w:tr>
      <w:tr>
        <w:tc>
          <w:tcPr>
            <w:tcW w:type="dxa" w:w="1440"/>
          </w:tcPr>
          <w:p>
            <w:r>
              <w:rPr>
                <w:sz w:val="19"/>
              </w:rPr>
              <w:t>BILL</w:t>
            </w:r>
          </w:p>
        </w:tc>
        <w:tc>
          <w:tcPr>
            <w:tcW w:type="dxa" w:w="2880"/>
          </w:tcPr>
          <w:p>
            <w:r>
              <w:rPr>
                <w:sz w:val="19"/>
              </w:rPr>
              <w:t>Billing Administrator</w:t>
            </w:r>
          </w:p>
        </w:tc>
        <w:tc>
          <w:tcPr>
            <w:tcW w:type="dxa" w:w="5472"/>
          </w:tcPr>
          <w:p>
            <w:r>
              <w:rPr>
                <w:sz w:val="19"/>
              </w:rPr>
              <w:t>Applies/removes the Lifeline credit, sets billing effective dates in NISC.</w:t>
            </w:r>
          </w:p>
        </w:tc>
      </w:tr>
      <w:tr>
        <w:tc>
          <w:tcPr>
            <w:tcW w:type="dxa" w:w="1440"/>
          </w:tcPr>
          <w:p>
            <w:r>
              <w:rPr>
                <w:sz w:val="19"/>
              </w:rPr>
              <w:t>TECH</w:t>
            </w:r>
          </w:p>
        </w:tc>
        <w:tc>
          <w:tcPr>
            <w:tcW w:type="dxa" w:w="2880"/>
          </w:tcPr>
          <w:p>
            <w:r>
              <w:rPr>
                <w:sz w:val="19"/>
              </w:rPr>
              <w:t>Field/Provisioning Tech</w:t>
            </w:r>
          </w:p>
        </w:tc>
        <w:tc>
          <w:tcPr>
            <w:tcW w:type="dxa" w:w="5472"/>
          </w:tcPr>
          <w:p>
            <w:r>
              <w:rPr>
                <w:sz w:val="19"/>
              </w:rPr>
              <w:t>Completes service orders / installs on the fiber network.</w:t>
            </w:r>
          </w:p>
        </w:tc>
      </w:tr>
    </w:tbl>
    <w:p>
      <w:pPr>
        <w:pStyle w:val="Heading3"/>
      </w:pPr>
      <w:r>
        <w:t>Systems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2E5496"/>
          </w:tcPr>
          <w:p>
            <w:r>
              <w:rPr>
                <w:b/>
                <w:color w:val="FFFFFF"/>
                <w:sz w:val="19"/>
              </w:rPr>
              <w:t>System</w:t>
            </w:r>
          </w:p>
        </w:tc>
        <w:tc>
          <w:tcPr>
            <w:tcW w:type="dxa" w:w="3888"/>
            <w:shd w:val="clear" w:fill="2E5496"/>
          </w:tcPr>
          <w:p>
            <w:r>
              <w:rPr>
                <w:b/>
                <w:color w:val="FFFFFF"/>
                <w:sz w:val="19"/>
              </w:rPr>
              <w:t>What it is</w:t>
            </w:r>
          </w:p>
        </w:tc>
        <w:tc>
          <w:tcPr>
            <w:tcW w:type="dxa" w:w="4320"/>
            <w:shd w:val="clear" w:fill="2E5496"/>
          </w:tcPr>
          <w:p>
            <w:r>
              <w:rPr>
                <w:b/>
                <w:color w:val="FFFFFF"/>
                <w:sz w:val="19"/>
              </w:rPr>
              <w:t>Rule</w:t>
            </w:r>
          </w:p>
        </w:tc>
      </w:tr>
      <w:tr>
        <w:tc>
          <w:tcPr>
            <w:tcW w:type="dxa" w:w="1584"/>
          </w:tcPr>
          <w:p>
            <w:r>
              <w:rPr>
                <w:sz w:val="19"/>
              </w:rPr>
              <w:t>NV</w:t>
            </w:r>
          </w:p>
        </w:tc>
        <w:tc>
          <w:tcPr>
            <w:tcW w:type="dxa" w:w="3888"/>
          </w:tcPr>
          <w:p>
            <w:r>
              <w:rPr>
                <w:sz w:val="19"/>
              </w:rPr>
              <w:t>USAC National Verifier — eligibility engine</w:t>
            </w:r>
          </w:p>
        </w:tc>
        <w:tc>
          <w:tcPr>
            <w:tcW w:type="dxa" w:w="4320"/>
          </w:tcPr>
          <w:p>
            <w:r>
              <w:rPr>
                <w:sz w:val="19"/>
              </w:rPr>
              <w:t>NV approval is REQUIRED before NLAD enrollment (SR-3.1).</w:t>
            </w:r>
          </w:p>
        </w:tc>
      </w:tr>
      <w:tr>
        <w:tc>
          <w:tcPr>
            <w:tcW w:type="dxa" w:w="1584"/>
          </w:tcPr>
          <w:p>
            <w:r>
              <w:rPr>
                <w:sz w:val="19"/>
              </w:rPr>
              <w:t>NLAD</w:t>
            </w:r>
          </w:p>
        </w:tc>
        <w:tc>
          <w:tcPr>
            <w:tcW w:type="dxa" w:w="3888"/>
          </w:tcPr>
          <w:p>
            <w:r>
              <w:rPr>
                <w:sz w:val="19"/>
              </w:rPr>
              <w:t>National Lifeline Accountability Database</w:t>
            </w:r>
          </w:p>
        </w:tc>
        <w:tc>
          <w:tcPr>
            <w:tcW w:type="dxa" w:w="4320"/>
          </w:tcPr>
          <w:p>
            <w:r>
              <w:rPr>
                <w:sz w:val="19"/>
              </w:rPr>
              <w:t>Enrollment + duplicate check; update within 10 business days of changes (SR-3.2).</w:t>
            </w:r>
          </w:p>
        </w:tc>
      </w:tr>
      <w:tr>
        <w:tc>
          <w:tcPr>
            <w:tcW w:type="dxa" w:w="1584"/>
          </w:tcPr>
          <w:p>
            <w:r>
              <w:rPr>
                <w:sz w:val="19"/>
              </w:rPr>
              <w:t>RAD</w:t>
            </w:r>
          </w:p>
        </w:tc>
        <w:tc>
          <w:tcPr>
            <w:tcW w:type="dxa" w:w="3888"/>
          </w:tcPr>
          <w:p>
            <w:r>
              <w:rPr>
                <w:sz w:val="19"/>
              </w:rPr>
              <w:t>Rep ID registry (LifelineRAD.org)</w:t>
            </w:r>
          </w:p>
        </w:tc>
        <w:tc>
          <w:tcPr>
            <w:tcW w:type="dxa" w:w="4320"/>
          </w:tcPr>
          <w:p>
            <w:r>
              <w:rPr>
                <w:sz w:val="19"/>
              </w:rPr>
              <w:t>Each ER self-registers for a unique Rep ID before enrolling (SR-6.6).</w:t>
            </w:r>
          </w:p>
        </w:tc>
      </w:tr>
      <w:tr>
        <w:tc>
          <w:tcPr>
            <w:tcW w:type="dxa" w:w="1584"/>
          </w:tcPr>
          <w:p>
            <w:r>
              <w:rPr>
                <w:sz w:val="19"/>
              </w:rPr>
              <w:t>LCS</w:t>
            </w:r>
          </w:p>
        </w:tc>
        <w:tc>
          <w:tcPr>
            <w:tcW w:type="dxa" w:w="3888"/>
          </w:tcPr>
          <w:p>
            <w:r>
              <w:rPr>
                <w:sz w:val="19"/>
              </w:rPr>
              <w:t>Lifeline Claims System</w:t>
            </w:r>
          </w:p>
        </w:tc>
        <w:tc>
          <w:tcPr>
            <w:tcW w:type="dxa" w:w="4320"/>
          </w:tcPr>
          <w:p>
            <w:r>
              <w:rPr>
                <w:sz w:val="19"/>
              </w:rPr>
              <w:t>Monthly reimbursement claim built from the 1st-of-month NLAD snapshot (SR-6.8).</w:t>
            </w:r>
          </w:p>
        </w:tc>
      </w:tr>
      <w:tr>
        <w:tc>
          <w:tcPr>
            <w:tcW w:type="dxa" w:w="1584"/>
          </w:tcPr>
          <w:p>
            <w:r>
              <w:rPr>
                <w:sz w:val="19"/>
              </w:rPr>
              <w:t>NISC</w:t>
            </w:r>
          </w:p>
        </w:tc>
        <w:tc>
          <w:tcPr>
            <w:tcW w:type="dxa" w:w="3888"/>
          </w:tcPr>
          <w:p>
            <w:r>
              <w:rPr>
                <w:sz w:val="19"/>
              </w:rPr>
              <w:t>RIVR billing / CIS platform</w:t>
            </w:r>
          </w:p>
        </w:tc>
        <w:tc>
          <w:tcPr>
            <w:tcW w:type="dxa" w:w="4320"/>
          </w:tcPr>
          <w:p>
            <w:r>
              <w:rPr>
                <w:sz w:val="19"/>
              </w:rPr>
              <w:t>Customer account, service order, plan, credit, billing effective date.</w:t>
            </w:r>
          </w:p>
        </w:tc>
      </w:tr>
      <w:tr>
        <w:tc>
          <w:tcPr>
            <w:tcW w:type="dxa" w:w="1584"/>
          </w:tcPr>
          <w:p>
            <w:r>
              <w:rPr>
                <w:sz w:val="19"/>
              </w:rPr>
              <w:t>USAC TLVT</w:t>
            </w:r>
          </w:p>
        </w:tc>
        <w:tc>
          <w:tcPr>
            <w:tcW w:type="dxa" w:w="3888"/>
          </w:tcPr>
          <w:p>
            <w:r>
              <w:rPr>
                <w:sz w:val="19"/>
              </w:rPr>
              <w:t>Tribal Lands Verification Tool</w:t>
            </w:r>
          </w:p>
        </w:tc>
        <w:tc>
          <w:tcPr>
            <w:tcW w:type="dxa" w:w="4320"/>
          </w:tcPr>
          <w:p>
            <w:r>
              <w:rPr>
                <w:sz w:val="19"/>
              </w:rPr>
              <w:t>Per-address check of principal residence against qualifying Tribal lands (SR-4.4).</w:t>
            </w:r>
          </w:p>
        </w:tc>
      </w:tr>
    </w:tbl>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Golden rule, encoded everywhere: an approved National Verifier result must exist BEFORE any NLAD enrollment. No NV = no enrollment, no credit, no claim. (SR-3.1 / SR-3.2)</w:t>
            </w:r>
          </w:p>
        </w:tc>
      </w:tr>
    </w:tbl>
    <w:p>
      <w:pPr>
        <w:pStyle w:val="Heading1"/>
      </w:pPr>
      <w:r>
        <w:t>A. Universal enrollment control points (the 15 mandatory steps)</w:t>
      </w:r>
    </w:p>
    <w:p>
      <w:r>
        <w:rPr>
          <w:b w:val="0"/>
          <w:i w:val="0"/>
          <w:sz w:val="21"/>
        </w:rPr>
        <w:t>Every enrollment — regardless of channel, customer type, or benefit level — MUST pass through all 15 control points below. Each of the ten workflows in Section B references these control points by number (CP-1 … CP-15). If any control point is skipped, the enrollment is not complete and must not be claimed for reimbursement.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val="clear" w:fill="2E5496"/>
          </w:tcPr>
          <w:p>
            <w:r>
              <w:rPr>
                <w:b/>
                <w:color w:val="FFFFFF"/>
                <w:sz w:val="18"/>
              </w:rPr>
              <w:t>CP #</w:t>
            </w:r>
          </w:p>
        </w:tc>
        <w:tc>
          <w:tcPr>
            <w:tcW w:type="dxa" w:w="4896"/>
            <w:shd w:val="clear" w:fill="2E5496"/>
          </w:tcPr>
          <w:p>
            <w:r>
              <w:rPr>
                <w:b/>
                <w:color w:val="FFFFFF"/>
                <w:sz w:val="18"/>
              </w:rPr>
              <w:t>Control point</w:t>
            </w:r>
          </w:p>
        </w:tc>
        <w:tc>
          <w:tcPr>
            <w:tcW w:type="dxa" w:w="1008"/>
            <w:shd w:val="clear" w:fill="2E5496"/>
          </w:tcPr>
          <w:p>
            <w:r>
              <w:rPr>
                <w:b/>
                <w:color w:val="FFFFFF"/>
                <w:sz w:val="18"/>
              </w:rPr>
              <w:t>Owner</w:t>
            </w:r>
          </w:p>
        </w:tc>
        <w:tc>
          <w:tcPr>
            <w:tcW w:type="dxa" w:w="1296"/>
            <w:shd w:val="clear" w:fill="2E5496"/>
          </w:tcPr>
          <w:p>
            <w:r>
              <w:rPr>
                <w:b/>
                <w:color w:val="FFFFFF"/>
                <w:sz w:val="18"/>
              </w:rPr>
              <w:t>System</w:t>
            </w:r>
          </w:p>
        </w:tc>
        <w:tc>
          <w:tcPr>
            <w:tcW w:type="dxa" w:w="1440"/>
            <w:shd w:val="clear" w:fill="2E5496"/>
          </w:tcPr>
          <w:p>
            <w:r>
              <w:rPr>
                <w:b/>
                <w:color w:val="FFFFFF"/>
                <w:sz w:val="18"/>
              </w:rPr>
              <w:t>Source / rule</w:t>
            </w:r>
          </w:p>
        </w:tc>
      </w:tr>
      <w:tr>
        <w:tc>
          <w:tcPr>
            <w:tcW w:type="dxa" w:w="720"/>
          </w:tcPr>
          <w:p>
            <w:r>
              <w:rPr>
                <w:sz w:val="17"/>
              </w:rPr>
              <w:t>CP-1</w:t>
            </w:r>
          </w:p>
        </w:tc>
        <w:tc>
          <w:tcPr>
            <w:tcW w:type="dxa" w:w="4896"/>
          </w:tcPr>
          <w:p>
            <w:r>
              <w:rPr>
                <w:sz w:val="17"/>
              </w:rPr>
              <w:t>Identity &amp; address collection — legal name, DOB (last 4 SSN or Tribal ID as accepted by NV), and full principal-residence address.</w:t>
            </w:r>
          </w:p>
        </w:tc>
        <w:tc>
          <w:tcPr>
            <w:tcW w:type="dxa" w:w="1008"/>
          </w:tcPr>
          <w:p>
            <w:r>
              <w:rPr>
                <w:sz w:val="17"/>
              </w:rPr>
              <w:t>ER/CSR</w:t>
            </w:r>
          </w:p>
        </w:tc>
        <w:tc>
          <w:tcPr>
            <w:tcW w:type="dxa" w:w="1296"/>
          </w:tcPr>
          <w:p>
            <w:r>
              <w:rPr>
                <w:sz w:val="17"/>
              </w:rPr>
              <w:t>Intake form → NV</w:t>
            </w:r>
          </w:p>
        </w:tc>
        <w:tc>
          <w:tcPr>
            <w:tcW w:type="dxa" w:w="1440"/>
          </w:tcPr>
          <w:p>
            <w:r>
              <w:rPr>
                <w:sz w:val="17"/>
              </w:rPr>
              <w:t>SR-3.1</w:t>
            </w:r>
          </w:p>
        </w:tc>
      </w:tr>
      <w:tr>
        <w:tc>
          <w:tcPr>
            <w:tcW w:type="dxa" w:w="720"/>
          </w:tcPr>
          <w:p>
            <w:r>
              <w:rPr>
                <w:sz w:val="17"/>
              </w:rPr>
              <w:t>CP-2</w:t>
            </w:r>
          </w:p>
        </w:tc>
        <w:tc>
          <w:tcPr>
            <w:tcW w:type="dxa" w:w="4896"/>
          </w:tcPr>
          <w:p>
            <w:r>
              <w:rPr>
                <w:sz w:val="17"/>
              </w:rPr>
              <w:t>National Verifier application — submit eligibility application (program-based or income) and obtain a result.</w:t>
            </w:r>
          </w:p>
        </w:tc>
        <w:tc>
          <w:tcPr>
            <w:tcW w:type="dxa" w:w="1008"/>
          </w:tcPr>
          <w:p>
            <w:r>
              <w:rPr>
                <w:sz w:val="17"/>
              </w:rPr>
              <w:t>ER</w:t>
            </w:r>
          </w:p>
        </w:tc>
        <w:tc>
          <w:tcPr>
            <w:tcW w:type="dxa" w:w="1296"/>
          </w:tcPr>
          <w:p>
            <w:r>
              <w:rPr>
                <w:sz w:val="17"/>
              </w:rPr>
              <w:t>NV</w:t>
            </w:r>
          </w:p>
        </w:tc>
        <w:tc>
          <w:tcPr>
            <w:tcW w:type="dxa" w:w="1440"/>
          </w:tcPr>
          <w:p>
            <w:r>
              <w:rPr>
                <w:sz w:val="17"/>
              </w:rPr>
              <w:t>SR-3.1</w:t>
            </w:r>
          </w:p>
        </w:tc>
      </w:tr>
      <w:tr>
        <w:tc>
          <w:tcPr>
            <w:tcW w:type="dxa" w:w="720"/>
          </w:tcPr>
          <w:p>
            <w:r>
              <w:rPr>
                <w:sz w:val="17"/>
              </w:rPr>
              <w:t>CP-3</w:t>
            </w:r>
          </w:p>
        </w:tc>
        <w:tc>
          <w:tcPr>
            <w:tcW w:type="dxa" w:w="4896"/>
          </w:tcPr>
          <w:p>
            <w:r>
              <w:rPr>
                <w:sz w:val="17"/>
              </w:rPr>
              <w:t>Household worksheet (when applicable) — complete the one-per-household worksheet when more than one household may share the address.</w:t>
            </w:r>
          </w:p>
        </w:tc>
        <w:tc>
          <w:tcPr>
            <w:tcW w:type="dxa" w:w="1008"/>
          </w:tcPr>
          <w:p>
            <w:r>
              <w:rPr>
                <w:sz w:val="17"/>
              </w:rPr>
              <w:t>ER</w:t>
            </w:r>
          </w:p>
        </w:tc>
        <w:tc>
          <w:tcPr>
            <w:tcW w:type="dxa" w:w="1296"/>
          </w:tcPr>
          <w:p>
            <w:r>
              <w:rPr>
                <w:sz w:val="17"/>
              </w:rPr>
              <w:t>NV / paper</w:t>
            </w:r>
          </w:p>
        </w:tc>
        <w:tc>
          <w:tcPr>
            <w:tcW w:type="dxa" w:w="1440"/>
          </w:tcPr>
          <w:p>
            <w:r>
              <w:rPr>
                <w:sz w:val="17"/>
              </w:rPr>
              <w:t>SR-1.8</w:t>
            </w:r>
          </w:p>
        </w:tc>
      </w:tr>
      <w:tr>
        <w:tc>
          <w:tcPr>
            <w:tcW w:type="dxa" w:w="720"/>
          </w:tcPr>
          <w:p>
            <w:r>
              <w:rPr>
                <w:sz w:val="17"/>
              </w:rPr>
              <w:t>CP-4</w:t>
            </w:r>
          </w:p>
        </w:tc>
        <w:tc>
          <w:tcPr>
            <w:tcW w:type="dxa" w:w="4896"/>
          </w:tcPr>
          <w:p>
            <w:r>
              <w:rPr>
                <w:sz w:val="17"/>
              </w:rPr>
              <w:t>Customer consent — obtain the customer's certification/consent to eligibility statements and data use.</w:t>
            </w:r>
          </w:p>
        </w:tc>
        <w:tc>
          <w:tcPr>
            <w:tcW w:type="dxa" w:w="1008"/>
          </w:tcPr>
          <w:p>
            <w:r>
              <w:rPr>
                <w:sz w:val="17"/>
              </w:rPr>
              <w:t>ER/CSR</w:t>
            </w:r>
          </w:p>
        </w:tc>
        <w:tc>
          <w:tcPr>
            <w:tcW w:type="dxa" w:w="1296"/>
          </w:tcPr>
          <w:p>
            <w:r>
              <w:rPr>
                <w:sz w:val="17"/>
              </w:rPr>
              <w:t>NV / signed form</w:t>
            </w:r>
          </w:p>
        </w:tc>
        <w:tc>
          <w:tcPr>
            <w:tcW w:type="dxa" w:w="1440"/>
          </w:tcPr>
          <w:p>
            <w:r>
              <w:rPr>
                <w:sz w:val="17"/>
              </w:rPr>
              <w:t>SR-3.1</w:t>
            </w:r>
          </w:p>
        </w:tc>
      </w:tr>
      <w:tr>
        <w:tc>
          <w:tcPr>
            <w:tcW w:type="dxa" w:w="720"/>
          </w:tcPr>
          <w:p>
            <w:r>
              <w:rPr>
                <w:sz w:val="17"/>
              </w:rPr>
              <w:t>CP-5</w:t>
            </w:r>
          </w:p>
        </w:tc>
        <w:tc>
          <w:tcPr>
            <w:tcW w:type="dxa" w:w="4896"/>
          </w:tcPr>
          <w:p>
            <w:r>
              <w:rPr>
                <w:sz w:val="17"/>
              </w:rPr>
              <w:t>Benefit-transfer consent (when applicable) — if the customer already receives Lifeline elsewhere, obtain explicit benefit-transfer consent.</w:t>
            </w:r>
          </w:p>
        </w:tc>
        <w:tc>
          <w:tcPr>
            <w:tcW w:type="dxa" w:w="1008"/>
          </w:tcPr>
          <w:p>
            <w:r>
              <w:rPr>
                <w:sz w:val="17"/>
              </w:rPr>
              <w:t>ER</w:t>
            </w:r>
          </w:p>
        </w:tc>
        <w:tc>
          <w:tcPr>
            <w:tcW w:type="dxa" w:w="1296"/>
          </w:tcPr>
          <w:p>
            <w:r>
              <w:rPr>
                <w:sz w:val="17"/>
              </w:rPr>
              <w:t>NLAD</w:t>
            </w:r>
          </w:p>
        </w:tc>
        <w:tc>
          <w:tcPr>
            <w:tcW w:type="dxa" w:w="1440"/>
          </w:tcPr>
          <w:p>
            <w:r>
              <w:rPr>
                <w:sz w:val="17"/>
              </w:rPr>
              <w:t>SR-3.6</w:t>
            </w:r>
          </w:p>
        </w:tc>
      </w:tr>
      <w:tr>
        <w:tc>
          <w:tcPr>
            <w:tcW w:type="dxa" w:w="720"/>
          </w:tcPr>
          <w:p>
            <w:r>
              <w:rPr>
                <w:sz w:val="17"/>
              </w:rPr>
              <w:t>CP-6</w:t>
            </w:r>
          </w:p>
        </w:tc>
        <w:tc>
          <w:tcPr>
            <w:tcW w:type="dxa" w:w="4896"/>
          </w:tcPr>
          <w:p>
            <w:r>
              <w:rPr>
                <w:sz w:val="17"/>
              </w:rPr>
              <w:t>Tribal-lands verification — run the USAC Tribal Lands Verification Tool on the principal residence for ANY enhanced-Tribal request.</w:t>
            </w:r>
          </w:p>
        </w:tc>
        <w:tc>
          <w:tcPr>
            <w:tcW w:type="dxa" w:w="1008"/>
          </w:tcPr>
          <w:p>
            <w:r>
              <w:rPr>
                <w:sz w:val="17"/>
              </w:rPr>
              <w:t>ER/CO</w:t>
            </w:r>
          </w:p>
        </w:tc>
        <w:tc>
          <w:tcPr>
            <w:tcW w:type="dxa" w:w="1296"/>
          </w:tcPr>
          <w:p>
            <w:r>
              <w:rPr>
                <w:sz w:val="17"/>
              </w:rPr>
              <w:t>USAC TLVT</w:t>
            </w:r>
          </w:p>
        </w:tc>
        <w:tc>
          <w:tcPr>
            <w:tcW w:type="dxa" w:w="1440"/>
          </w:tcPr>
          <w:p>
            <w:r>
              <w:rPr>
                <w:sz w:val="17"/>
              </w:rPr>
              <w:t>SR-4.4</w:t>
            </w:r>
          </w:p>
        </w:tc>
      </w:tr>
      <w:tr>
        <w:tc>
          <w:tcPr>
            <w:tcW w:type="dxa" w:w="720"/>
          </w:tcPr>
          <w:p>
            <w:r>
              <w:rPr>
                <w:sz w:val="17"/>
              </w:rPr>
              <w:t>CP-7</w:t>
            </w:r>
          </w:p>
        </w:tc>
        <w:tc>
          <w:tcPr>
            <w:tcW w:type="dxa" w:w="4896"/>
          </w:tcPr>
          <w:p>
            <w:r>
              <w:rPr>
                <w:sz w:val="17"/>
              </w:rPr>
              <w:t>Tribal membership verification (only when relevant to a separate Tribe-funded program) — privacy-preserving confirmation with the Lumbee Tribe; NOT used for enhanced Tribal.</w:t>
            </w:r>
          </w:p>
        </w:tc>
        <w:tc>
          <w:tcPr>
            <w:tcW w:type="dxa" w:w="1008"/>
          </w:tcPr>
          <w:p>
            <w:r>
              <w:rPr>
                <w:sz w:val="17"/>
              </w:rPr>
              <w:t>CO</w:t>
            </w:r>
          </w:p>
        </w:tc>
        <w:tc>
          <w:tcPr>
            <w:tcW w:type="dxa" w:w="1296"/>
          </w:tcPr>
          <w:p>
            <w:r>
              <w:rPr>
                <w:sz w:val="17"/>
              </w:rPr>
              <w:t>Tribe MOU process</w:t>
            </w:r>
          </w:p>
        </w:tc>
        <w:tc>
          <w:tcPr>
            <w:tcW w:type="dxa" w:w="1440"/>
          </w:tcPr>
          <w:p>
            <w:r>
              <w:rPr>
                <w:sz w:val="17"/>
              </w:rPr>
              <w:t>SR-5.6</w:t>
            </w:r>
          </w:p>
        </w:tc>
      </w:tr>
      <w:tr>
        <w:tc>
          <w:tcPr>
            <w:tcW w:type="dxa" w:w="720"/>
          </w:tcPr>
          <w:p>
            <w:r>
              <w:rPr>
                <w:sz w:val="17"/>
              </w:rPr>
              <w:t>CP-8</w:t>
            </w:r>
          </w:p>
        </w:tc>
        <w:tc>
          <w:tcPr>
            <w:tcW w:type="dxa" w:w="4896"/>
          </w:tcPr>
          <w:p>
            <w:r>
              <w:rPr>
                <w:sz w:val="17"/>
              </w:rPr>
              <w:t>NV approval confirmed — a valid, unexpired APPROVED NV result exists. REQUIRED before CP-9.</w:t>
            </w:r>
          </w:p>
        </w:tc>
        <w:tc>
          <w:tcPr>
            <w:tcW w:type="dxa" w:w="1008"/>
          </w:tcPr>
          <w:p>
            <w:r>
              <w:rPr>
                <w:sz w:val="17"/>
              </w:rPr>
              <w:t>ER/CO</w:t>
            </w:r>
          </w:p>
        </w:tc>
        <w:tc>
          <w:tcPr>
            <w:tcW w:type="dxa" w:w="1296"/>
          </w:tcPr>
          <w:p>
            <w:r>
              <w:rPr>
                <w:sz w:val="17"/>
              </w:rPr>
              <w:t>NV</w:t>
            </w:r>
          </w:p>
        </w:tc>
        <w:tc>
          <w:tcPr>
            <w:tcW w:type="dxa" w:w="1440"/>
          </w:tcPr>
          <w:p>
            <w:r>
              <w:rPr>
                <w:sz w:val="17"/>
              </w:rPr>
              <w:t>SR-3.1</w:t>
            </w:r>
          </w:p>
        </w:tc>
      </w:tr>
      <w:tr>
        <w:tc>
          <w:tcPr>
            <w:tcW w:type="dxa" w:w="720"/>
          </w:tcPr>
          <w:p>
            <w:r>
              <w:rPr>
                <w:sz w:val="17"/>
              </w:rPr>
              <w:t>CP-9</w:t>
            </w:r>
          </w:p>
        </w:tc>
        <w:tc>
          <w:tcPr>
            <w:tcW w:type="dxa" w:w="4896"/>
          </w:tcPr>
          <w:p>
            <w:r>
              <w:rPr>
                <w:sz w:val="17"/>
              </w:rPr>
              <w:t>NLAD enrollment — create the subscriber record; duplicate check clears; set the Tribal benefit flag only if CP-6 verified.</w:t>
            </w:r>
          </w:p>
        </w:tc>
        <w:tc>
          <w:tcPr>
            <w:tcW w:type="dxa" w:w="1008"/>
          </w:tcPr>
          <w:p>
            <w:r>
              <w:rPr>
                <w:sz w:val="17"/>
              </w:rPr>
              <w:t>ER</w:t>
            </w:r>
          </w:p>
        </w:tc>
        <w:tc>
          <w:tcPr>
            <w:tcW w:type="dxa" w:w="1296"/>
          </w:tcPr>
          <w:p>
            <w:r>
              <w:rPr>
                <w:sz w:val="17"/>
              </w:rPr>
              <w:t>NLAD</w:t>
            </w:r>
          </w:p>
        </w:tc>
        <w:tc>
          <w:tcPr>
            <w:tcW w:type="dxa" w:w="1440"/>
          </w:tcPr>
          <w:p>
            <w:r>
              <w:rPr>
                <w:sz w:val="17"/>
              </w:rPr>
              <w:t>SR-3.2 / SR-4.4</w:t>
            </w:r>
          </w:p>
        </w:tc>
      </w:tr>
      <w:tr>
        <w:tc>
          <w:tcPr>
            <w:tcW w:type="dxa" w:w="720"/>
          </w:tcPr>
          <w:p>
            <w:r>
              <w:rPr>
                <w:sz w:val="17"/>
              </w:rPr>
              <w:t>CP-10</w:t>
            </w:r>
          </w:p>
        </w:tc>
        <w:tc>
          <w:tcPr>
            <w:tcW w:type="dxa" w:w="4896"/>
          </w:tcPr>
          <w:p>
            <w:r>
              <w:rPr>
                <w:sz w:val="17"/>
              </w:rPr>
              <w:t>NISC account update — create/attach the customer account and select the correct plan.</w:t>
            </w:r>
          </w:p>
        </w:tc>
        <w:tc>
          <w:tcPr>
            <w:tcW w:type="dxa" w:w="1008"/>
          </w:tcPr>
          <w:p>
            <w:r>
              <w:rPr>
                <w:sz w:val="17"/>
              </w:rPr>
              <w:t>CSR/BILL</w:t>
            </w:r>
          </w:p>
        </w:tc>
        <w:tc>
          <w:tcPr>
            <w:tcW w:type="dxa" w:w="1296"/>
          </w:tcPr>
          <w:p>
            <w:r>
              <w:rPr>
                <w:sz w:val="17"/>
              </w:rPr>
              <w:t>NISC</w:t>
            </w:r>
          </w:p>
        </w:tc>
        <w:tc>
          <w:tcPr>
            <w:tcW w:type="dxa" w:w="1440"/>
          </w:tcPr>
          <w:p>
            <w:r>
              <w:rPr>
                <w:sz w:val="17"/>
              </w:rPr>
              <w:t>Program control</w:t>
            </w:r>
          </w:p>
        </w:tc>
      </w:tr>
      <w:tr>
        <w:tc>
          <w:tcPr>
            <w:tcW w:type="dxa" w:w="720"/>
          </w:tcPr>
          <w:p>
            <w:r>
              <w:rPr>
                <w:sz w:val="17"/>
              </w:rPr>
              <w:t>CP-11</w:t>
            </w:r>
          </w:p>
        </w:tc>
        <w:tc>
          <w:tcPr>
            <w:tcW w:type="dxa" w:w="4896"/>
          </w:tcPr>
          <w:p>
            <w:r>
              <w:rPr>
                <w:sz w:val="17"/>
              </w:rPr>
              <w:t>Service-order completion — provision or confirm active broadband service (install or plan change).</w:t>
            </w:r>
          </w:p>
        </w:tc>
        <w:tc>
          <w:tcPr>
            <w:tcW w:type="dxa" w:w="1008"/>
          </w:tcPr>
          <w:p>
            <w:r>
              <w:rPr>
                <w:sz w:val="17"/>
              </w:rPr>
              <w:t>TECH/CSR</w:t>
            </w:r>
          </w:p>
        </w:tc>
        <w:tc>
          <w:tcPr>
            <w:tcW w:type="dxa" w:w="1296"/>
          </w:tcPr>
          <w:p>
            <w:r>
              <w:rPr>
                <w:sz w:val="17"/>
              </w:rPr>
              <w:t>NISC</w:t>
            </w:r>
          </w:p>
        </w:tc>
        <w:tc>
          <w:tcPr>
            <w:tcW w:type="dxa" w:w="1440"/>
          </w:tcPr>
          <w:p>
            <w:r>
              <w:rPr>
                <w:sz w:val="17"/>
              </w:rPr>
              <w:t>SR-2.1/2.2</w:t>
            </w:r>
          </w:p>
        </w:tc>
      </w:tr>
      <w:tr>
        <w:tc>
          <w:tcPr>
            <w:tcW w:type="dxa" w:w="720"/>
          </w:tcPr>
          <w:p>
            <w:r>
              <w:rPr>
                <w:sz w:val="17"/>
              </w:rPr>
              <w:t>CP-12</w:t>
            </w:r>
          </w:p>
        </w:tc>
        <w:tc>
          <w:tcPr>
            <w:tcW w:type="dxa" w:w="4896"/>
          </w:tcPr>
          <w:p>
            <w:r>
              <w:rPr>
                <w:sz w:val="17"/>
              </w:rPr>
              <w:t>Billing effective date — set the Lifeline credit effective date aligned to service start and NLAD enrollment date.</w:t>
            </w:r>
          </w:p>
        </w:tc>
        <w:tc>
          <w:tcPr>
            <w:tcW w:type="dxa" w:w="1008"/>
          </w:tcPr>
          <w:p>
            <w:r>
              <w:rPr>
                <w:sz w:val="17"/>
              </w:rPr>
              <w:t>BILL</w:t>
            </w:r>
          </w:p>
        </w:tc>
        <w:tc>
          <w:tcPr>
            <w:tcW w:type="dxa" w:w="1296"/>
          </w:tcPr>
          <w:p>
            <w:r>
              <w:rPr>
                <w:sz w:val="17"/>
              </w:rPr>
              <w:t>NISC</w:t>
            </w:r>
          </w:p>
        </w:tc>
        <w:tc>
          <w:tcPr>
            <w:tcW w:type="dxa" w:w="1440"/>
          </w:tcPr>
          <w:p>
            <w:r>
              <w:rPr>
                <w:sz w:val="17"/>
              </w:rPr>
              <w:t>Program control</w:t>
            </w:r>
          </w:p>
        </w:tc>
      </w:tr>
      <w:tr>
        <w:tc>
          <w:tcPr>
            <w:tcW w:type="dxa" w:w="720"/>
          </w:tcPr>
          <w:p>
            <w:r>
              <w:rPr>
                <w:sz w:val="17"/>
              </w:rPr>
              <w:t>CP-13</w:t>
            </w:r>
          </w:p>
        </w:tc>
        <w:tc>
          <w:tcPr>
            <w:tcW w:type="dxa" w:w="4896"/>
          </w:tcPr>
          <w:p>
            <w:r>
              <w:rPr>
                <w:sz w:val="17"/>
              </w:rPr>
              <w:t>Confirmation notice — send the customer a written confirmation of enrollment, plan, credit amount, and their rights.</w:t>
            </w:r>
          </w:p>
        </w:tc>
        <w:tc>
          <w:tcPr>
            <w:tcW w:type="dxa" w:w="1008"/>
          </w:tcPr>
          <w:p>
            <w:r>
              <w:rPr>
                <w:sz w:val="17"/>
              </w:rPr>
              <w:t>CSR</w:t>
            </w:r>
          </w:p>
        </w:tc>
        <w:tc>
          <w:tcPr>
            <w:tcW w:type="dxa" w:w="1296"/>
          </w:tcPr>
          <w:p>
            <w:r>
              <w:rPr>
                <w:sz w:val="17"/>
              </w:rPr>
              <w:t>NISC/notice</w:t>
            </w:r>
          </w:p>
        </w:tc>
        <w:tc>
          <w:tcPr>
            <w:tcW w:type="dxa" w:w="1440"/>
          </w:tcPr>
          <w:p>
            <w:r>
              <w:rPr>
                <w:sz w:val="17"/>
              </w:rPr>
              <w:t>SR-6.12</w:t>
            </w:r>
          </w:p>
        </w:tc>
      </w:tr>
      <w:tr>
        <w:tc>
          <w:tcPr>
            <w:tcW w:type="dxa" w:w="720"/>
          </w:tcPr>
          <w:p>
            <w:r>
              <w:rPr>
                <w:sz w:val="17"/>
              </w:rPr>
              <w:t>CP-14</w:t>
            </w:r>
          </w:p>
        </w:tc>
        <w:tc>
          <w:tcPr>
            <w:tcW w:type="dxa" w:w="4896"/>
          </w:tcPr>
          <w:p>
            <w:r>
              <w:rPr>
                <w:sz w:val="17"/>
              </w:rPr>
              <w:t>Quality-control review — independent QC reviewer confirms CP-1…CP-13 before the record is eligible to be claimed.</w:t>
            </w:r>
          </w:p>
        </w:tc>
        <w:tc>
          <w:tcPr>
            <w:tcW w:type="dxa" w:w="1008"/>
          </w:tcPr>
          <w:p>
            <w:r>
              <w:rPr>
                <w:sz w:val="17"/>
              </w:rPr>
              <w:t>QC</w:t>
            </w:r>
          </w:p>
        </w:tc>
        <w:tc>
          <w:tcPr>
            <w:tcW w:type="dxa" w:w="1296"/>
          </w:tcPr>
          <w:p>
            <w:r>
              <w:rPr>
                <w:sz w:val="17"/>
              </w:rPr>
              <w:t>Checklist</w:t>
            </w:r>
          </w:p>
        </w:tc>
        <w:tc>
          <w:tcPr>
            <w:tcW w:type="dxa" w:w="1440"/>
          </w:tcPr>
          <w:p>
            <w:r>
              <w:rPr>
                <w:sz w:val="17"/>
              </w:rPr>
              <w:t>Section F</w:t>
            </w:r>
          </w:p>
        </w:tc>
      </w:tr>
      <w:tr>
        <w:tc>
          <w:tcPr>
            <w:tcW w:type="dxa" w:w="720"/>
          </w:tcPr>
          <w:p>
            <w:r>
              <w:rPr>
                <w:sz w:val="17"/>
              </w:rPr>
              <w:t>CP-15</w:t>
            </w:r>
          </w:p>
        </w:tc>
        <w:tc>
          <w:tcPr>
            <w:tcW w:type="dxa" w:w="4896"/>
          </w:tcPr>
          <w:p>
            <w:r>
              <w:rPr>
                <w:sz w:val="17"/>
              </w:rPr>
              <w:t>Secure document retention — store all eligibility/consent/verification records securely for the required period.</w:t>
            </w:r>
          </w:p>
        </w:tc>
        <w:tc>
          <w:tcPr>
            <w:tcW w:type="dxa" w:w="1008"/>
          </w:tcPr>
          <w:p>
            <w:r>
              <w:rPr>
                <w:sz w:val="17"/>
              </w:rPr>
              <w:t>CO</w:t>
            </w:r>
          </w:p>
        </w:tc>
        <w:tc>
          <w:tcPr>
            <w:tcW w:type="dxa" w:w="1296"/>
          </w:tcPr>
          <w:p>
            <w:r>
              <w:rPr>
                <w:sz w:val="17"/>
              </w:rPr>
              <w:t>Records system</w:t>
            </w:r>
          </w:p>
        </w:tc>
        <w:tc>
          <w:tcPr>
            <w:tcW w:type="dxa" w:w="1440"/>
          </w:tcPr>
          <w:p>
            <w:r>
              <w:rPr>
                <w:sz w:val="17"/>
              </w:rPr>
              <w:t>SR-6.11 (§54.417)</w:t>
            </w:r>
          </w:p>
        </w:tc>
      </w:tr>
    </w:tbl>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Retention (CP-15): keep compliance records at least 3 full preceding calendar years; keep each subscriber's eligibility documentation for as long as they receive service and a minimum of 3 years thereafter. This is the §54.417 Lifeline rule — NOT the 10-year high-cost rule. (SR-6.11)</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NV-before-NLAD (CP-8 before CP-9) is a hard sequence. NLAD enrollment without an approved NV result is an improper enrollment and cannot be reimbursed. (SR-3.1 / SR-3.2)</w:t>
            </w:r>
          </w:p>
        </w:tc>
      </w:tr>
    </w:tbl>
    <w:p>
      <w:pPr>
        <w:pStyle w:val="Heading1"/>
      </w:pPr>
      <w:r>
        <w:t>B. Enrollment workflows (ten scenarios)</w:t>
      </w:r>
    </w:p>
    <w:p>
      <w:r>
        <w:rPr>
          <w:b w:val="0"/>
          <w:i w:val="0"/>
          <w:sz w:val="21"/>
        </w:rPr>
        <w:t>Each workflow is a concrete, ordered procedure. Steps name the role, the system, and finish with QC (CP-14) and retention (CP-15). All workflows share the golden rule: NV approval (CP-8) precedes NLAD enrollment (CP-9).</w:t>
      </w:r>
    </w:p>
    <w:p>
      <w:pPr>
        <w:pStyle w:val="Heading2"/>
      </w:pPr>
      <w:r>
        <w:t>B.1 New RIVR Tech customer</w:t>
      </w:r>
    </w:p>
    <w:p>
      <w:r>
        <w:rPr>
          <w:b w:val="0"/>
          <w:i/>
          <w:color w:val="595959"/>
          <w:sz w:val="21"/>
        </w:rPr>
        <w:t>Applicant has no existing RIVR service. Standard broadband-first Lifeline path. Touches CP-1 through CP-15.</w:t>
      </w:r>
    </w:p>
    <w:p>
      <w:pPr>
        <w:pStyle w:val="ListNumber"/>
      </w:pPr>
      <w:r>
        <w:t>ER (RAD Rep ID active) collects legal name, DOB, principal-residence address, and eligibility basis (program or income). [CP-1]</w:t>
      </w:r>
    </w:p>
    <w:p>
      <w:pPr>
        <w:pStyle w:val="ListNumber"/>
      </w:pPr>
      <w:r>
        <w:t>ER submits the National Verifier application in NV and selects the customer's qualifying program or income path. [CP-2]</w:t>
      </w:r>
    </w:p>
    <w:p>
      <w:pPr>
        <w:pStyle w:val="ListNumber"/>
      </w:pPr>
      <w:r>
        <w:t>If more than one household may share the address, ER completes the one-per-household worksheet. [CP-3]</w:t>
      </w:r>
    </w:p>
    <w:p>
      <w:pPr>
        <w:pStyle w:val="ListNumber"/>
      </w:pPr>
      <w:r>
        <w:t>ER captures the customer's consent/certification to the eligibility statements and data-use terms. [CP-4]</w:t>
      </w:r>
    </w:p>
    <w:p>
      <w:pPr>
        <w:pStyle w:val="ListNumber"/>
      </w:pPr>
      <w:r>
        <w:t>ER checks NV for a duplicate/existing Lifeline benefit; if the customer is enrolled with another provider, switch to Workflow B.3 (benefit transfer). [CP-5]</w:t>
      </w:r>
    </w:p>
    <w:p>
      <w:pPr>
        <w:pStyle w:val="ListNumber"/>
      </w:pPr>
      <w:r>
        <w:t>ER waits for and confirms an APPROVED NV result. If pending or rejected, do NOT proceed; resolve documentation with the customer. [CP-8]</w:t>
      </w:r>
    </w:p>
    <w:p>
      <w:pPr>
        <w:pStyle w:val="ListNumber"/>
      </w:pPr>
      <w:r>
        <w:t>ER enrolls the subscriber in NLAD; duplicate check must clear. Tribal benefit flag left OFF unless enhanced Tribal was separately verified via TLVT (see B.9). [CP-9]</w:t>
      </w:r>
    </w:p>
    <w:p>
      <w:pPr>
        <w:pStyle w:val="ListNumber"/>
      </w:pPr>
      <w:r>
        <w:t>CSR/BILL creates the RIVR account in NISC and selects the correct plan (default: Senior $10 plan or applicable retail plan the credit attaches to). [CP-10]</w:t>
      </w:r>
    </w:p>
    <w:p>
      <w:pPr>
        <w:pStyle w:val="ListNumber"/>
      </w:pPr>
      <w:r>
        <w:t>TECH schedules and completes the fiber install / service order; confirms active 25/3-or-better service (RIVR plans exceed minimums). [CP-11]</w:t>
      </w:r>
    </w:p>
    <w:p>
      <w:pPr>
        <w:pStyle w:val="ListNumber"/>
      </w:pPr>
      <w:r>
        <w:t>BILL sets the Lifeline credit and billing effective date aligned to service start and the NLAD enrollment date. [CP-12]</w:t>
      </w:r>
    </w:p>
    <w:p>
      <w:pPr>
        <w:pStyle w:val="ListNumber"/>
      </w:pPr>
      <w:r>
        <w:t>CSR sends the written enrollment confirmation notice (plan, credit amount, recertification obligation, rights). [CP-13]</w:t>
      </w:r>
    </w:p>
    <w:p>
      <w:pPr>
        <w:pStyle w:val="ListNumber"/>
      </w:pPr>
      <w:r>
        <w:t>QC performs the independent second-person review against the Section F checklist before the record is claimed. [CP-14]</w:t>
      </w:r>
    </w:p>
    <w:p>
      <w:pPr>
        <w:pStyle w:val="ListNumber"/>
      </w:pPr>
      <w:r>
        <w:t>CO files all eligibility/consent/verification records to secure retention per §54.417. [CP-15]</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Enhanced Tribal ($25 add-on) is NOT applied here by default. It requires a per-address TLVT verification (Workflow B.9). Working assumption today: 0 qualifying addresses (SR-5.5).</w:t>
            </w:r>
          </w:p>
        </w:tc>
      </w:tr>
    </w:tbl>
    <w:p>
      <w:pPr>
        <w:pStyle w:val="Heading2"/>
      </w:pPr>
      <w:r>
        <w:t>B.2 Existing RIVR Tech customer (already has internet — apply Lifeline credit to current plan)</w:t>
      </w:r>
    </w:p>
    <w:p>
      <w:r>
        <w:rPr>
          <w:b w:val="0"/>
          <w:i/>
          <w:color w:val="595959"/>
          <w:sz w:val="21"/>
        </w:rPr>
        <w:t>Customer already buys RIVR broadband; we are adding the Lifeline credit to their existing service, not provisioning new service.</w:t>
      </w:r>
    </w:p>
    <w:p>
      <w:pPr>
        <w:pStyle w:val="ListNumber"/>
      </w:pPr>
      <w:r>
        <w:t>CSR pulls the existing NISC account and confirms the service is active and in the customer's name at the principal residence. [CP-1]</w:t>
      </w:r>
    </w:p>
    <w:p>
      <w:pPr>
        <w:pStyle w:val="ListNumber"/>
      </w:pPr>
      <w:r>
        <w:t>ER submits the National Verifier application for the customer (program or income basis). [CP-2]</w:t>
      </w:r>
    </w:p>
    <w:p>
      <w:pPr>
        <w:pStyle w:val="ListNumber"/>
      </w:pPr>
      <w:r>
        <w:t>ER completes the one-per-household worksheet if the address may contain multiple households. [CP-3]</w:t>
      </w:r>
    </w:p>
    <w:p>
      <w:pPr>
        <w:pStyle w:val="ListNumber"/>
      </w:pPr>
      <w:r>
        <w:t>ER obtains the customer's consent/certification. [CP-4]</w:t>
      </w:r>
    </w:p>
    <w:p>
      <w:pPr>
        <w:pStyle w:val="ListNumber"/>
      </w:pPr>
      <w:r>
        <w:t>ER checks for an existing Lifeline benefit elsewhere; if found, route to B.3 benefit transfer. [CP-5]</w:t>
      </w:r>
    </w:p>
    <w:p>
      <w:pPr>
        <w:pStyle w:val="ListNumber"/>
      </w:pPr>
      <w:r>
        <w:t>ER confirms an APPROVED NV result before any NLAD action. [CP-8]</w:t>
      </w:r>
    </w:p>
    <w:p>
      <w:pPr>
        <w:pStyle w:val="ListNumber"/>
      </w:pPr>
      <w:r>
        <w:t>ER enrolls the subscriber in NLAD; duplicate check clears. [CP-9]</w:t>
      </w:r>
    </w:p>
    <w:p>
      <w:pPr>
        <w:pStyle w:val="ListNumber"/>
      </w:pPr>
      <w:r>
        <w:t>BILL keeps the customer on their current plan and attaches the Lifeline credit to that plan in NISC (no new service order unless the customer also downgrades to the Senior $10 plan). [CP-10]</w:t>
      </w:r>
    </w:p>
    <w:p>
      <w:pPr>
        <w:pStyle w:val="ListNumber"/>
      </w:pPr>
      <w:r>
        <w:t>CSR confirms no provisioning change is needed; service remains active. [CP-11]</w:t>
      </w:r>
    </w:p>
    <w:p>
      <w:pPr>
        <w:pStyle w:val="ListNumber"/>
      </w:pPr>
      <w:r>
        <w:t>BILL sets the credit effective date to the next clean billing cycle on/after the NLAD enrollment date — never retroactively beyond the enrollment date. [CP-12]</w:t>
      </w:r>
    </w:p>
    <w:p>
      <w:pPr>
        <w:pStyle w:val="ListNumber"/>
      </w:pPr>
      <w:r>
        <w:t>CSR sends confirmation showing the credit applied to the existing plan and the new net amount. [CP-13]</w:t>
      </w:r>
    </w:p>
    <w:p>
      <w:pPr>
        <w:pStyle w:val="ListNumber"/>
      </w:pPr>
      <w:r>
        <w:t>QC reviews against Section F. [CP-14]</w:t>
      </w:r>
    </w:p>
    <w:p>
      <w:pPr>
        <w:pStyle w:val="ListNumber"/>
      </w:pPr>
      <w:r>
        <w:t>CO retains all records. [CP-15]</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Do NOT back-date the credit to before the NLAD enrollment date. Subsidies apply prospectively (see Section D reversal rule).</w:t>
            </w:r>
          </w:p>
        </w:tc>
      </w:tr>
    </w:tbl>
    <w:p>
      <w:pPr>
        <w:pStyle w:val="Heading2"/>
      </w:pPr>
      <w:r>
        <w:t>B.3 Benefit transfer from another provider</w:t>
      </w:r>
    </w:p>
    <w:p>
      <w:r>
        <w:rPr>
          <w:b w:val="0"/>
          <w:i/>
          <w:color w:val="595959"/>
          <w:sz w:val="21"/>
        </w:rPr>
        <w:t>The applicant already receives Lifeline from another carrier — NLAD shows a duplicate. The benefit moves to RIVR via consent-based transfer (SR-3.6).</w:t>
      </w:r>
    </w:p>
    <w:p>
      <w:pPr>
        <w:pStyle w:val="ListNumber"/>
      </w:pPr>
      <w:r>
        <w:t>ER collects identity/address and attempts NLAD enrollment; the duplicate-benefit condition is returned. [CP-1]</w:t>
      </w:r>
    </w:p>
    <w:p>
      <w:pPr>
        <w:pStyle w:val="ListNumber"/>
      </w:pPr>
      <w:r>
        <w:t>ER confirms (or submits) the NV application so an approved eligibility result underlies the transfer. [CP-2]</w:t>
      </w:r>
    </w:p>
    <w:p>
      <w:pPr>
        <w:pStyle w:val="ListNumber"/>
      </w:pPr>
      <w:r>
        <w:t>ER completes the one-per-household worksheet if applicable. [CP-3]</w:t>
      </w:r>
    </w:p>
    <w:p>
      <w:pPr>
        <w:pStyle w:val="ListNumber"/>
      </w:pPr>
      <w:r>
        <w:t>ER explains the transfer to the customer and obtains explicit BENEFIT-TRANSFER consent — the customer's affirmative acknowledgment that moving the benefit ends it at the prior provider. [CP-5 / CP-4]</w:t>
      </w:r>
    </w:p>
    <w:p>
      <w:pPr>
        <w:pStyle w:val="ListNumber"/>
      </w:pPr>
      <w:r>
        <w:t>ER confirms the APPROVED NV result. [CP-8]</w:t>
      </w:r>
    </w:p>
    <w:p>
      <w:pPr>
        <w:pStyle w:val="ListNumber"/>
      </w:pPr>
      <w:r>
        <w:t>ER executes the consent-based benefit transfer in NLAD (transfer transaction, not a fresh duplicate enrollment). [CP-9]</w:t>
      </w:r>
    </w:p>
    <w:p>
      <w:pPr>
        <w:pStyle w:val="ListNumber"/>
      </w:pPr>
      <w:r>
        <w:t>CSR/BILL sets up or updates the NISC account and plan. [CP-10]</w:t>
      </w:r>
    </w:p>
    <w:p>
      <w:pPr>
        <w:pStyle w:val="ListNumber"/>
      </w:pPr>
      <w:r>
        <w:t>TECH provisions service if the customer is new to RIVR; otherwise confirm active service. [CP-11]</w:t>
      </w:r>
    </w:p>
    <w:p>
      <w:pPr>
        <w:pStyle w:val="ListNumber"/>
      </w:pPr>
      <w:r>
        <w:t>BILL sets the credit effective date from the transfer date. [CP-12]</w:t>
      </w:r>
    </w:p>
    <w:p>
      <w:pPr>
        <w:pStyle w:val="ListNumber"/>
      </w:pPr>
      <w:r>
        <w:t>CSR sends confirmation noting the transfer and that the benefit no longer applies at the prior carrier. [CP-13]</w:t>
      </w:r>
    </w:p>
    <w:p>
      <w:pPr>
        <w:pStyle w:val="ListNumber"/>
      </w:pPr>
      <w:r>
        <w:t>QC verifies the transfer transaction (not a duplicate) and consent record. [CP-14]</w:t>
      </w:r>
    </w:p>
    <w:p>
      <w:pPr>
        <w:pStyle w:val="ListNumber"/>
      </w:pPr>
      <w:r>
        <w:t>CO retains the transfer-consent record with the eligibility file. [CP-15]</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A transfer requires the customer's affirmative consent and moves — not duplicates — the single per-household benefit (SR-1.8, SR-3.6). Never create a second concurrent benefit.</w:t>
            </w:r>
          </w:p>
        </w:tc>
      </w:tr>
    </w:tbl>
    <w:p>
      <w:pPr>
        <w:pStyle w:val="Heading2"/>
      </w:pPr>
      <w:r>
        <w:t>B.4 Customer applying online</w:t>
      </w:r>
    </w:p>
    <w:p>
      <w:r>
        <w:rPr>
          <w:b w:val="0"/>
          <w:i/>
          <w:color w:val="595959"/>
          <w:sz w:val="21"/>
        </w:rPr>
        <w:t>Applicant initiates via the RIVR website / self-service link. Channel differs; the 15 control points do not.</w:t>
      </w:r>
    </w:p>
    <w:p>
      <w:pPr>
        <w:pStyle w:val="ListNumber"/>
      </w:pPr>
      <w:r>
        <w:t>Customer submits the online intake (name, DOB, address, eligibility basis); system captures CP-1 data.</w:t>
      </w:r>
    </w:p>
    <w:p>
      <w:pPr>
        <w:pStyle w:val="ListNumber"/>
      </w:pPr>
      <w:r>
        <w:t>ER reviews the submission for completeness and initiates/monitors the NV application (customer may complete the consumer-facing NV flow directly). [CP-2]</w:t>
      </w:r>
    </w:p>
    <w:p>
      <w:pPr>
        <w:pStyle w:val="ListNumber"/>
      </w:pPr>
      <w:r>
        <w:t>System prompts the one-per-household worksheet if the address flags multiple households. [CP-3]</w:t>
      </w:r>
    </w:p>
    <w:p>
      <w:pPr>
        <w:pStyle w:val="ListNumber"/>
      </w:pPr>
      <w:r>
        <w:t>Customer e-signs the consent/certification; ER confirms it is captured. [CP-4]</w:t>
      </w:r>
    </w:p>
    <w:p>
      <w:pPr>
        <w:pStyle w:val="ListNumber"/>
      </w:pPr>
      <w:r>
        <w:t>ER checks for an existing benefit; if present, route to B.3. [CP-5]</w:t>
      </w:r>
    </w:p>
    <w:p>
      <w:pPr>
        <w:pStyle w:val="ListNumber"/>
      </w:pPr>
      <w:r>
        <w:t>ER confirms the APPROVED NV result before NLAD. [CP-8]</w:t>
      </w:r>
    </w:p>
    <w:p>
      <w:pPr>
        <w:pStyle w:val="ListNumber"/>
      </w:pPr>
      <w:r>
        <w:t>ER completes NLAD enrollment. [CP-9]</w:t>
      </w:r>
    </w:p>
    <w:p>
      <w:pPr>
        <w:pStyle w:val="ListNumber"/>
      </w:pPr>
      <w:r>
        <w:t>CSR/BILL creates/updates the NISC account and plan. [CP-10]</w:t>
      </w:r>
    </w:p>
    <w:p>
      <w:pPr>
        <w:pStyle w:val="ListNumber"/>
      </w:pPr>
      <w:r>
        <w:t>TECH schedules install (new) or confirms active service (existing). [CP-11]</w:t>
      </w:r>
    </w:p>
    <w:p>
      <w:pPr>
        <w:pStyle w:val="ListNumber"/>
      </w:pPr>
      <w:r>
        <w:t>BILL sets credit and billing effective date. [CP-12]</w:t>
      </w:r>
    </w:p>
    <w:p>
      <w:pPr>
        <w:pStyle w:val="ListNumber"/>
      </w:pPr>
      <w:r>
        <w:t>CSR emails the written confirmation notice. [CP-13]</w:t>
      </w:r>
    </w:p>
    <w:p>
      <w:pPr>
        <w:pStyle w:val="ListNumber"/>
      </w:pPr>
      <w:r>
        <w:t>QC reviews the online enrollment against Section F, with extra attention to identity-match quality. [CP-14]</w:t>
      </w:r>
    </w:p>
    <w:p>
      <w:pPr>
        <w:pStyle w:val="ListNumber"/>
      </w:pPr>
      <w:r>
        <w:t>CO retains e-signature, consent, and NV/NLAD records. [CP-15]</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Online channel must still capture verifiable identity and consent. Do not enroll on an unverified web form; NV approval governs (CP-8).</w:t>
            </w:r>
          </w:p>
        </w:tc>
      </w:tr>
    </w:tbl>
    <w:p>
      <w:pPr>
        <w:pStyle w:val="Heading2"/>
      </w:pPr>
      <w:r>
        <w:t>B.5 Customer applying by telephone</w:t>
      </w:r>
    </w:p>
    <w:p>
      <w:r>
        <w:rPr>
          <w:b w:val="0"/>
          <w:i/>
          <w:color w:val="595959"/>
          <w:sz w:val="21"/>
        </w:rPr>
        <w:t>CSR/ER assists the applicant on a recorded line. Verbal consent must be captured to the standard NV/consent requirements.</w:t>
      </w:r>
    </w:p>
    <w:p>
      <w:pPr>
        <w:pStyle w:val="ListNumber"/>
      </w:pPr>
      <w:r>
        <w:t>CSR verifies the caller's identity and captures name, DOB, address, and eligibility basis. [CP-1]</w:t>
      </w:r>
    </w:p>
    <w:p>
      <w:pPr>
        <w:pStyle w:val="ListNumber"/>
      </w:pPr>
      <w:r>
        <w:t>ER submits the NV application on the customer's behalf. [CP-2]</w:t>
      </w:r>
    </w:p>
    <w:p>
      <w:pPr>
        <w:pStyle w:val="ListNumber"/>
      </w:pPr>
      <w:r>
        <w:t>CSR administers the one-per-household worksheet verbally if applicable and records the answers. [CP-3]</w:t>
      </w:r>
    </w:p>
    <w:p>
      <w:pPr>
        <w:pStyle w:val="ListNumber"/>
      </w:pPr>
      <w:r>
        <w:t>CSR reads the certification/consent script and captures the customer's verbal consent on the recorded line (and via follow-up e-sign where required). [CP-4]</w:t>
      </w:r>
    </w:p>
    <w:p>
      <w:pPr>
        <w:pStyle w:val="ListNumber"/>
      </w:pPr>
      <w:r>
        <w:t>ER checks for an existing benefit; route to B.3 if present. [CP-5]</w:t>
      </w:r>
    </w:p>
    <w:p>
      <w:pPr>
        <w:pStyle w:val="ListNumber"/>
      </w:pPr>
      <w:r>
        <w:t>ER confirms the APPROVED NV result. [CP-8]</w:t>
      </w:r>
    </w:p>
    <w:p>
      <w:pPr>
        <w:pStyle w:val="ListNumber"/>
      </w:pPr>
      <w:r>
        <w:t>ER completes NLAD enrollment. [CP-9]</w:t>
      </w:r>
    </w:p>
    <w:p>
      <w:pPr>
        <w:pStyle w:val="ListNumber"/>
      </w:pPr>
      <w:r>
        <w:t>CSR/BILL creates/updates the NISC account and plan. [CP-10]</w:t>
      </w:r>
    </w:p>
    <w:p>
      <w:pPr>
        <w:pStyle w:val="ListNumber"/>
      </w:pPr>
      <w:r>
        <w:t>TECH schedules install or confirms active service. [CP-11]</w:t>
      </w:r>
    </w:p>
    <w:p>
      <w:pPr>
        <w:pStyle w:val="ListNumber"/>
      </w:pPr>
      <w:r>
        <w:t>BILL sets credit and billing effective date. [CP-12]</w:t>
      </w:r>
    </w:p>
    <w:p>
      <w:pPr>
        <w:pStyle w:val="ListNumber"/>
      </w:pPr>
      <w:r>
        <w:t>CSR sends the written confirmation notice by mail/email. [CP-13]</w:t>
      </w:r>
    </w:p>
    <w:p>
      <w:pPr>
        <w:pStyle w:val="ListNumber"/>
      </w:pPr>
      <w:r>
        <w:t>QC reviews, confirming the consent recording/reference is logged. [CP-14]</w:t>
      </w:r>
    </w:p>
    <w:p>
      <w:pPr>
        <w:pStyle w:val="ListNumber"/>
      </w:pPr>
      <w:r>
        <w:t>CO retains the call reference, consent, and NV/NLAD records. [CP-15]</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Log the call/consent reference ID with the file. A telephone enrollment without a retrievable consent record fails QC.</w:t>
            </w:r>
          </w:p>
        </w:tc>
      </w:tr>
    </w:tbl>
    <w:p>
      <w:pPr>
        <w:pStyle w:val="Heading2"/>
      </w:pPr>
      <w:r>
        <w:t>B.6 Customer applying in person</w:t>
      </w:r>
    </w:p>
    <w:p>
      <w:r>
        <w:rPr>
          <w:b w:val="0"/>
          <w:i/>
          <w:color w:val="595959"/>
          <w:sz w:val="21"/>
        </w:rPr>
        <w:t>Applicant visits a RIVR location / community event. ER assists face-to-face; physical documents can be imaged on the spot.</w:t>
      </w:r>
    </w:p>
    <w:p>
      <w:pPr>
        <w:pStyle w:val="ListNumber"/>
      </w:pPr>
      <w:r>
        <w:t>ER checks photo ID and captures name, DOB, address, and eligibility basis; images supporting documents. [CP-1]</w:t>
      </w:r>
    </w:p>
    <w:p>
      <w:pPr>
        <w:pStyle w:val="ListNumber"/>
      </w:pPr>
      <w:r>
        <w:t>ER submits the NV application. [CP-2]</w:t>
      </w:r>
    </w:p>
    <w:p>
      <w:pPr>
        <w:pStyle w:val="ListNumber"/>
      </w:pPr>
      <w:r>
        <w:t>ER completes the one-per-household worksheet with the customer if applicable. [CP-3]</w:t>
      </w:r>
    </w:p>
    <w:p>
      <w:pPr>
        <w:pStyle w:val="ListNumber"/>
      </w:pPr>
      <w:r>
        <w:t>ER obtains a wet or e-signature on the certification/consent form. [CP-4]</w:t>
      </w:r>
    </w:p>
    <w:p>
      <w:pPr>
        <w:pStyle w:val="ListNumber"/>
      </w:pPr>
      <w:r>
        <w:t>ER checks for an existing benefit; route to B.3 if present. [CP-5]</w:t>
      </w:r>
    </w:p>
    <w:p>
      <w:pPr>
        <w:pStyle w:val="ListNumber"/>
      </w:pPr>
      <w:r>
        <w:t>ER confirms the APPROVED NV result. [CP-8]</w:t>
      </w:r>
    </w:p>
    <w:p>
      <w:pPr>
        <w:pStyle w:val="ListNumber"/>
      </w:pPr>
      <w:r>
        <w:t>ER completes NLAD enrollment. [CP-9]</w:t>
      </w:r>
    </w:p>
    <w:p>
      <w:pPr>
        <w:pStyle w:val="ListNumber"/>
      </w:pPr>
      <w:r>
        <w:t>CSR/BILL creates/updates the NISC account and plan. [CP-10]</w:t>
      </w:r>
    </w:p>
    <w:p>
      <w:pPr>
        <w:pStyle w:val="ListNumber"/>
      </w:pPr>
      <w:r>
        <w:t>TECH schedules install or confirms active service. [CP-11]</w:t>
      </w:r>
    </w:p>
    <w:p>
      <w:pPr>
        <w:pStyle w:val="ListNumber"/>
      </w:pPr>
      <w:r>
        <w:t>BILL sets credit and billing effective date. [CP-12]</w:t>
      </w:r>
    </w:p>
    <w:p>
      <w:pPr>
        <w:pStyle w:val="ListNumber"/>
      </w:pPr>
      <w:r>
        <w:t>CSR provides/sends the written confirmation notice. [CP-13]</w:t>
      </w:r>
    </w:p>
    <w:p>
      <w:pPr>
        <w:pStyle w:val="ListNumber"/>
      </w:pPr>
      <w:r>
        <w:t>QC reviews the imaged documents and signatures against Section F. [CP-14]</w:t>
      </w:r>
    </w:p>
    <w:p>
      <w:pPr>
        <w:pStyle w:val="ListNumber"/>
      </w:pPr>
      <w:r>
        <w:t>CO retains imaged documents, signed consent, and NV/NLAD records. [CP-15]</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Never retain more personal document data than needed. Image only what NV/QC require and store it in the secure records system (CP-15).</w:t>
            </w:r>
          </w:p>
        </w:tc>
      </w:tr>
    </w:tbl>
    <w:p>
      <w:pPr>
        <w:pStyle w:val="Heading2"/>
      </w:pPr>
      <w:r>
        <w:t>B.7 Senior applicant</w:t>
      </w:r>
    </w:p>
    <w:p>
      <w:r>
        <w:rPr>
          <w:b w:val="0"/>
          <w:i/>
          <w:color w:val="595959"/>
          <w:sz w:val="21"/>
        </w:rPr>
        <w:t>Age alone does NOT qualify anyone for Lifeline. A senior still needs an approved NV result. The commercial default is the $10 Senior 100/100 plan; the Lifeline credit (if the senior also qualifies) reduces that further via top-up. Handle the four sub-cases explicitly.</w:t>
      </w:r>
    </w:p>
    <w:p>
      <w:pPr>
        <w:pStyle w:val="ListNumber"/>
      </w:pPr>
      <w:r>
        <w:t>CSR/ER greets the senior and explains: the $10 Senior plan is a RIVR commercial offer; the federal Lifeline credit is a SEPARATE eligibility question that requires NV. [CP-1]</w:t>
      </w:r>
    </w:p>
    <w:p>
      <w:pPr>
        <w:pStyle w:val="ListNumber"/>
      </w:pPr>
      <w:r>
        <w:t>ER attempts an NV eligibility application (program or income). Age is captured for plan routing only, not as a qualifier. [CP-2]</w:t>
      </w:r>
    </w:p>
    <w:p>
      <w:pPr>
        <w:pStyle w:val="ListNumber"/>
      </w:pPr>
      <w:r>
        <w:t>ER completes the one-per-household worksheet if applicable. [CP-3]</w:t>
      </w:r>
    </w:p>
    <w:p>
      <w:pPr>
        <w:pStyle w:val="ListNumber"/>
      </w:pPr>
      <w:r>
        <w:t>ER obtains consent/certification. [CP-4]</w:t>
      </w:r>
    </w:p>
    <w:p>
      <w:pPr>
        <w:pStyle w:val="ListNumber"/>
      </w:pPr>
      <w:r>
        <w:t>Determine the sub-case (below) and route accordingly.</w:t>
      </w:r>
    </w:p>
    <w:p>
      <w:pPr>
        <w:pStyle w:val="ListNumber"/>
      </w:pPr>
      <w:r>
        <w:t>SUB-CASE (a) — Senior QUALIFIES for Lifeline: confirm APPROVED NV [CP-8] → NLAD enroll [CP-9] → NISC place on Senior $10 plan and apply the up-to-$9.25 standard credit as a top-up/offset [CP-10] → service [CP-11] → billing effective date [CP-12] → confirmation [CP-13].</w:t>
      </w:r>
    </w:p>
    <w:p>
      <w:pPr>
        <w:pStyle w:val="ListNumber"/>
      </w:pPr>
      <w:r>
        <w:t>SUB-CASE (b) — Senior is a LUMBEE MEMBER: membership is verified via the Tribe (privacy-preserving) but does NOT grant enhanced Tribal and does NOT by itself grant Lifeline. Still requires an approved NV result to receive any Lifeline credit; if approved, treat as (a). If a Tribe-funded benefit MOU exists, apply that separately (see B.8).</w:t>
      </w:r>
    </w:p>
    <w:p>
      <w:pPr>
        <w:pStyle w:val="ListNumber"/>
      </w:pPr>
      <w:r>
        <w:t>SUB-CASE (c) — Senior's ADDRESS qualifies for enhanced Tribal: run the USAC TLVT on the principal residence [CP-6]; if verified on qualifying Tribal lands, set the NLAD Tribal flag and apply up to $34.25 total. (Assume 0 qualifying today — SR-5.5.)</w:t>
      </w:r>
    </w:p>
    <w:p>
      <w:pPr>
        <w:pStyle w:val="ListNumber"/>
      </w:pPr>
      <w:r>
        <w:t>SUB-CASE (d) — Senior qualifies for NONE of the above: no Lifeline credit. Offer the $10 Senior commercial plan (or other retail plan) with no federal subsidy; do NOT enroll in NLAD.</w:t>
      </w:r>
    </w:p>
    <w:p>
      <w:pPr>
        <w:pStyle w:val="ListNumber"/>
      </w:pPr>
      <w:r>
        <w:t>QC reviews the sub-case routing and confirms no NLAD enrollment occurred in sub-case (d). [CP-14]</w:t>
      </w:r>
    </w:p>
    <w:p>
      <w:pPr>
        <w:pStyle w:val="ListNumber"/>
      </w:pPr>
      <w:r>
        <w:t>CO retains all records for enrolled sub-cases; retains the declination note for sub-case (d). [CP-15]</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Age is not a Lifeline qualifier. The $10 Senior plan can be sold to any senior; the Lifeline credit only attaches when NV approves eligibility (SR-1.4/1.6).</w:t>
            </w:r>
          </w:p>
        </w:tc>
      </w:tr>
    </w:tbl>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Lumbee membership ≠ enhanced Tribal and ≠ Lifeline eligibility. Enhanced $25 is address-based via TLVT only (SR-5.6).</w:t>
            </w:r>
          </w:p>
        </w:tc>
      </w:tr>
    </w:tbl>
    <w:p>
      <w:pPr>
        <w:pStyle w:val="Heading2"/>
      </w:pPr>
      <w:r>
        <w:t>B.8 Lumbee tribal member</w:t>
      </w:r>
    </w:p>
    <w:p>
      <w:r>
        <w:rPr>
          <w:b w:val="0"/>
          <w:i/>
          <w:color w:val="595959"/>
          <w:sz w:val="21"/>
        </w:rPr>
        <w:t>Membership is confirmed with the Tribe in a privacy-preserving way. Membership does NOT confer enhanced Tribal support and does NOT by itself confer Lifeline. The member may access a Tribe-funded benefit only if an MOU exists.</w:t>
      </w:r>
    </w:p>
    <w:p>
      <w:pPr>
        <w:pStyle w:val="ListNumber"/>
      </w:pPr>
      <w:r>
        <w:t>CSR/ER collects identity/address and notes the customer's stated Lumbee membership. [CP-1]</w:t>
      </w:r>
    </w:p>
    <w:p>
      <w:pPr>
        <w:pStyle w:val="ListNumber"/>
      </w:pPr>
      <w:r>
        <w:t>CO (or designated liaison) confirms membership through the Tribe's privacy-preserving verification channel — minimum data, no bulk roster storage. [CP-7]</w:t>
      </w:r>
    </w:p>
    <w:p>
      <w:pPr>
        <w:pStyle w:val="ListNumber"/>
      </w:pPr>
      <w:r>
        <w:t>ER submits the NV eligibility application — membership is NOT a substitute for NV. [CP-2]</w:t>
      </w:r>
    </w:p>
    <w:p>
      <w:pPr>
        <w:pStyle w:val="ListNumber"/>
      </w:pPr>
      <w:r>
        <w:t>ER completes the one-per-household worksheet if applicable. [CP-3]</w:t>
      </w:r>
    </w:p>
    <w:p>
      <w:pPr>
        <w:pStyle w:val="ListNumber"/>
      </w:pPr>
      <w:r>
        <w:t>ER obtains consent/certification, including consent to Tribe verification where required. [CP-4]</w:t>
      </w:r>
    </w:p>
    <w:p>
      <w:pPr>
        <w:pStyle w:val="ListNumber"/>
      </w:pPr>
      <w:r>
        <w:t>If the member also requests enhanced Tribal, run the USAC TLVT on the residence [CP-6]; membership alone never sets the Tribal flag.</w:t>
      </w:r>
    </w:p>
    <w:p>
      <w:pPr>
        <w:pStyle w:val="ListNumber"/>
      </w:pPr>
      <w:r>
        <w:t>ER confirms the APPROVED NV result before NLAD. [CP-8]</w:t>
      </w:r>
    </w:p>
    <w:p>
      <w:pPr>
        <w:pStyle w:val="ListNumber"/>
      </w:pPr>
      <w:r>
        <w:t>ER completes NLAD enrollment with the standard (up to $9.25) benefit unless TLVT verified the address for enhanced. [CP-9]</w:t>
      </w:r>
    </w:p>
    <w:p>
      <w:pPr>
        <w:pStyle w:val="ListNumber"/>
      </w:pPr>
      <w:r>
        <w:t>BILL applies any separately funded LUMBEE TRIBE benefit ONLY if an MOU authorizes it, and books it to the Tribe-contribution GL category — never commingled with USAC Lifeline funds (SR-10.2). [CP-10]</w:t>
      </w:r>
    </w:p>
    <w:p>
      <w:pPr>
        <w:pStyle w:val="ListNumber"/>
      </w:pPr>
      <w:r>
        <w:t>TECH provisions/confirms service; BILL sets credit and effective date. [CP-11 / CP-12]</w:t>
      </w:r>
    </w:p>
    <w:p>
      <w:pPr>
        <w:pStyle w:val="ListNumber"/>
      </w:pPr>
      <w:r>
        <w:t>CSR sends confirmation itemizing the federal credit and any Tribe-funded benefit distinctly. [CP-13]</w:t>
      </w:r>
    </w:p>
    <w:p>
      <w:pPr>
        <w:pStyle w:val="ListNumber"/>
      </w:pPr>
      <w:r>
        <w:t>QC confirms membership verification was privacy-preserving and funding streams are separated. [CP-14]</w:t>
      </w:r>
    </w:p>
    <w:p>
      <w:pPr>
        <w:pStyle w:val="ListNumber"/>
      </w:pPr>
      <w:r>
        <w:t>CO retains records; membership confirmation stored per minimization rules. [CP-15]</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Keep the four funding streams separate: federal Lifeline (USAC), TBCP/grants, RIVR-funded discounts, and Lumbee Tribe contributions. No commingling (SR-10.2).</w:t>
            </w:r>
          </w:p>
        </w:tc>
      </w:tr>
    </w:tbl>
    <w:p>
      <w:pPr>
        <w:pStyle w:val="Heading2"/>
      </w:pPr>
      <w:r>
        <w:t>B.9 Customer seeking enhanced Tribal support</w:t>
      </w:r>
    </w:p>
    <w:p>
      <w:r>
        <w:rPr>
          <w:b w:val="0"/>
          <w:i/>
          <w:color w:val="595959"/>
          <w:sz w:val="21"/>
        </w:rPr>
        <w:t>The ONLY path to the additional up-to-$25 (total up to $34.25). Enhanced Tribal is ADDRESS-based, not membership-based (SR-4/SR-5).</w:t>
      </w:r>
    </w:p>
    <w:p>
      <w:pPr>
        <w:pStyle w:val="ListNumber"/>
      </w:pPr>
      <w:r>
        <w:t>ER collects the exact principal-residence street address (and lat/long if the AMS error path requires it). [CP-1]</w:t>
      </w:r>
    </w:p>
    <w:p>
      <w:pPr>
        <w:pStyle w:val="ListNumber"/>
      </w:pPr>
      <w:r>
        <w:t>ER (or CO) runs the USAC Tribal Lands Verification Tool on that principal residence. This step is MANDATORY and cannot be inferred from membership or county. [CP-6]</w:t>
      </w:r>
    </w:p>
    <w:p>
      <w:pPr>
        <w:pStyle w:val="ListNumber"/>
      </w:pPr>
      <w:r>
        <w:t>DECISION: If TLVT returns NOT on qualifying Tribal lands → the customer gets STANDARD Lifeline only (up to $9.25). Do NOT set the NLAD Tribal flag. Proceed as Workflow B.1 for the standard benefit.</w:t>
      </w:r>
    </w:p>
    <w:p>
      <w:pPr>
        <w:pStyle w:val="ListNumber"/>
      </w:pPr>
      <w:r>
        <w:t>DECISION: If TLVT VERIFIES the address on qualifying Tribal lands → continue with the enhanced path below.</w:t>
      </w:r>
    </w:p>
    <w:p>
      <w:pPr>
        <w:pStyle w:val="ListNumber"/>
      </w:pPr>
      <w:r>
        <w:t>ER submits/confirms the NV eligibility application (program or income). [CP-2]</w:t>
      </w:r>
    </w:p>
    <w:p>
      <w:pPr>
        <w:pStyle w:val="ListNumber"/>
      </w:pPr>
      <w:r>
        <w:t>ER completes the one-per-household worksheet if applicable, and obtains consent. [CP-3 / CP-4]</w:t>
      </w:r>
    </w:p>
    <w:p>
      <w:pPr>
        <w:pStyle w:val="ListNumber"/>
      </w:pPr>
      <w:r>
        <w:t>ER confirms the APPROVED NV result. [CP-8]</w:t>
      </w:r>
    </w:p>
    <w:p>
      <w:pPr>
        <w:pStyle w:val="ListNumber"/>
      </w:pPr>
      <w:r>
        <w:t>ER enrolls in NLAD and sets the 'Lifeline Tribal Benefit?' flag to YES only because TLVT verified the address. [CP-9]</w:t>
      </w:r>
    </w:p>
    <w:p>
      <w:pPr>
        <w:pStyle w:val="ListNumber"/>
      </w:pPr>
      <w:r>
        <w:t>BILL applies the total up-to-$34.25 credit and certifies full pass-through to the subscriber. [CP-10 / CP-12]</w:t>
      </w:r>
    </w:p>
    <w:p>
      <w:pPr>
        <w:pStyle w:val="ListNumber"/>
      </w:pPr>
      <w:r>
        <w:t>CSR sends confirmation stating the enhanced amount and that it derives from verified Tribal-lands residence. [CP-13]</w:t>
      </w:r>
    </w:p>
    <w:p>
      <w:pPr>
        <w:pStyle w:val="ListNumber"/>
      </w:pPr>
      <w:r>
        <w:t>QC re-checks that a TLVT verification record exists for the exact address before the enhanced claim is made. [CP-14]</w:t>
      </w:r>
    </w:p>
    <w:p>
      <w:pPr>
        <w:pStyle w:val="ListNumber"/>
      </w:pPr>
      <w:r>
        <w:t>CO retains the TLVT verification result with the file. [CP-15]</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Lumbee membership and four-county residence do NOT qualify anyone for enhanced Tribal. The enhanced $25 requires the principal residence to be on qualifying Tribal lands per §54.400(e), verified per-address via the USAC TLVT (SR-4.2, SR-5.6).</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Working assumption today: the Lumbee have no reservation, no land in trust, and no §54.412 designation — so assume 0 qualifying addresses until USAC/FCC confirms otherwise (SR-5.5). Every enhanced request should currently resolve to standard-only.</w:t>
            </w:r>
          </w:p>
        </w:tc>
      </w:tr>
    </w:tbl>
    <w:p>
      <w:pPr>
        <w:pStyle w:val="Heading2"/>
      </w:pPr>
      <w:r>
        <w:t>B.10 Customer with a temporary address or shared household</w:t>
      </w:r>
    </w:p>
    <w:p>
      <w:r>
        <w:rPr>
          <w:b w:val="0"/>
          <w:i/>
          <w:color w:val="595959"/>
          <w:sz w:val="21"/>
        </w:rPr>
        <w:t>Handles the one-per-household rule, the economic-unit test, and temporary-address situations.</w:t>
      </w:r>
    </w:p>
    <w:p>
      <w:pPr>
        <w:pStyle w:val="ListNumber"/>
      </w:pPr>
      <w:r>
        <w:t>ER collects the address and asks the household-composition questions: does anyone else at this address receive Lifeline? Are occupants one economic unit? [CP-1]</w:t>
      </w:r>
    </w:p>
    <w:p>
      <w:pPr>
        <w:pStyle w:val="ListNumber"/>
      </w:pPr>
      <w:r>
        <w:t>ER applies the ECONOMIC-UNIT test: a 'household' is the people at one address who share income and expenses. Separate economic units at one address can each hold one benefit. [CP-3]</w:t>
      </w:r>
    </w:p>
    <w:p>
      <w:pPr>
        <w:pStyle w:val="ListNumber"/>
      </w:pPr>
      <w:r>
        <w:t>ER completes the one-per-household worksheet whenever multiple households may share the address; the customer certifies the worksheet. [CP-3 / CP-4]</w:t>
      </w:r>
    </w:p>
    <w:p>
      <w:pPr>
        <w:pStyle w:val="ListNumber"/>
      </w:pPr>
      <w:r>
        <w:t>For a TEMPORARY address, ER records it as the principal residence for now and flags the account for address re-verification; the customer must update within the required window if it changes (see Section D address-change SOP). [CP-1]</w:t>
      </w:r>
    </w:p>
    <w:p>
      <w:pPr>
        <w:pStyle w:val="ListNumber"/>
      </w:pPr>
      <w:r>
        <w:t>ER submits the NV application. [CP-2]</w:t>
      </w:r>
    </w:p>
    <w:p>
      <w:pPr>
        <w:pStyle w:val="ListNumber"/>
      </w:pPr>
      <w:r>
        <w:t>ER checks for an existing benefit at the address; if a duplicate exists, resolve via worksheet or B.3 transfer. [CP-5]</w:t>
      </w:r>
    </w:p>
    <w:p>
      <w:pPr>
        <w:pStyle w:val="ListNumber"/>
      </w:pPr>
      <w:r>
        <w:t>ER confirms the APPROVED NV result. [CP-8]</w:t>
      </w:r>
    </w:p>
    <w:p>
      <w:pPr>
        <w:pStyle w:val="ListNumber"/>
      </w:pPr>
      <w:r>
        <w:t>ER completes NLAD enrollment; the duplicate-address check must clear or be resolved by the worksheet. [CP-9]</w:t>
      </w:r>
    </w:p>
    <w:p>
      <w:pPr>
        <w:pStyle w:val="ListNumber"/>
      </w:pPr>
      <w:r>
        <w:t>CSR/BILL sets up the NISC account and plan; TECH provisions/confirms service. [CP-10 / CP-11]</w:t>
      </w:r>
    </w:p>
    <w:p>
      <w:pPr>
        <w:pStyle w:val="ListNumber"/>
      </w:pPr>
      <w:r>
        <w:t>BILL sets the credit effective date; CSR sends confirmation and explains the address-update duty. [CP-12 / CP-13]</w:t>
      </w:r>
    </w:p>
    <w:p>
      <w:pPr>
        <w:pStyle w:val="ListNumber"/>
      </w:pPr>
      <w:r>
        <w:t>QC verifies the worksheet and economic-unit determination. [CP-14]</w:t>
      </w:r>
    </w:p>
    <w:p>
      <w:pPr>
        <w:pStyle w:val="ListNumber"/>
      </w:pPr>
      <w:r>
        <w:t>CO retains the worksheet and address records. [CP-15]</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One Lifeline benefit per household; 'household' = people at one address sharing income and expenses as one economic unit (SR-1.8). A temporary address must be re-verified — especially for any Tribal-lands determination.</w:t>
            </w:r>
          </w:p>
        </w:tc>
      </w:tr>
    </w:tbl>
    <w:p>
      <w:pPr>
        <w:pStyle w:val="Heading1"/>
      </w:pPr>
      <w:r>
        <w:t>C. Decision tree — which benefit does this customer get?</w:t>
      </w:r>
    </w:p>
    <w:p>
      <w:r>
        <w:rPr>
          <w:b w:val="0"/>
          <w:i w:val="0"/>
          <w:sz w:val="21"/>
        </w:rPr>
        <w:t>Walk this tree for every applicant. It resolves the benefit level and the plan the credit attaches to. Read the table top-to-bottom; the first matching row is the outcome.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fill="2E5496"/>
          </w:tcPr>
          <w:p>
            <w:r>
              <w:rPr>
                <w:b/>
                <w:color w:val="FFFFFF"/>
                <w:sz w:val="18"/>
              </w:rPr>
              <w:t>Step</w:t>
            </w:r>
          </w:p>
        </w:tc>
        <w:tc>
          <w:tcPr>
            <w:tcW w:type="dxa" w:w="4320"/>
            <w:shd w:val="clear" w:fill="2E5496"/>
          </w:tcPr>
          <w:p>
            <w:r>
              <w:rPr>
                <w:b/>
                <w:color w:val="FFFFFF"/>
                <w:sz w:val="18"/>
              </w:rPr>
              <w:t>Question</w:t>
            </w:r>
          </w:p>
        </w:tc>
        <w:tc>
          <w:tcPr>
            <w:tcW w:type="dxa" w:w="2880"/>
            <w:shd w:val="clear" w:fill="2E5496"/>
          </w:tcPr>
          <w:p>
            <w:r>
              <w:rPr>
                <w:b/>
                <w:color w:val="FFFFFF"/>
                <w:sz w:val="18"/>
              </w:rPr>
              <w:t>If YES</w:t>
            </w:r>
          </w:p>
        </w:tc>
        <w:tc>
          <w:tcPr>
            <w:tcW w:type="dxa" w:w="2880"/>
            <w:shd w:val="clear" w:fill="2E5496"/>
          </w:tcPr>
          <w:p>
            <w:r>
              <w:rPr>
                <w:b/>
                <w:color w:val="FFFFFF"/>
                <w:sz w:val="18"/>
              </w:rPr>
              <w:t>If NO</w:t>
            </w:r>
          </w:p>
        </w:tc>
      </w:tr>
      <w:tr>
        <w:tc>
          <w:tcPr>
            <w:tcW w:type="dxa" w:w="720"/>
          </w:tcPr>
          <w:p>
            <w:r>
              <w:rPr>
                <w:sz w:val="17"/>
              </w:rPr>
              <w:t>1</w:t>
            </w:r>
          </w:p>
        </w:tc>
        <w:tc>
          <w:tcPr>
            <w:tcW w:type="dxa" w:w="4320"/>
          </w:tcPr>
          <w:p>
            <w:r>
              <w:rPr>
                <w:sz w:val="17"/>
              </w:rPr>
              <w:t>Standard-eligible? (approved NV result — program or income ≤135% FPG)</w:t>
            </w:r>
          </w:p>
        </w:tc>
        <w:tc>
          <w:tcPr>
            <w:tcW w:type="dxa" w:w="2880"/>
          </w:tcPr>
          <w:p>
            <w:r>
              <w:rPr>
                <w:sz w:val="17"/>
              </w:rPr>
              <w:t>Go to step 2.</w:t>
            </w:r>
          </w:p>
        </w:tc>
        <w:tc>
          <w:tcPr>
            <w:tcW w:type="dxa" w:w="2880"/>
          </w:tcPr>
          <w:p>
            <w:r>
              <w:rPr>
                <w:sz w:val="17"/>
              </w:rPr>
              <w:t>No Lifeline. Offer retail plan (incl. $10 Senior commercial plan if a senior). STOP.</w:t>
            </w:r>
          </w:p>
        </w:tc>
      </w:tr>
      <w:tr>
        <w:tc>
          <w:tcPr>
            <w:tcW w:type="dxa" w:w="720"/>
          </w:tcPr>
          <w:p>
            <w:r>
              <w:rPr>
                <w:sz w:val="17"/>
              </w:rPr>
              <w:t>2</w:t>
            </w:r>
          </w:p>
        </w:tc>
        <w:tc>
          <w:tcPr>
            <w:tcW w:type="dxa" w:w="4320"/>
          </w:tcPr>
          <w:p>
            <w:r>
              <w:rPr>
                <w:sz w:val="17"/>
              </w:rPr>
              <w:t>Tribal-lands ADDRESS verified via USAC TLVT on the principal residence?</w:t>
            </w:r>
          </w:p>
        </w:tc>
        <w:tc>
          <w:tcPr>
            <w:tcW w:type="dxa" w:w="2880"/>
          </w:tcPr>
          <w:p>
            <w:r>
              <w:rPr>
                <w:sz w:val="17"/>
              </w:rPr>
              <w:t>Enhanced Tribal: total up to $34.25/mo. Set NLAD Tribal flag. (Assume 0 qualifying today — SR-5.5.)</w:t>
            </w:r>
          </w:p>
        </w:tc>
        <w:tc>
          <w:tcPr>
            <w:tcW w:type="dxa" w:w="2880"/>
          </w:tcPr>
          <w:p>
            <w:r>
              <w:rPr>
                <w:sz w:val="17"/>
              </w:rPr>
              <w:t>Go to step 3.</w:t>
            </w:r>
          </w:p>
        </w:tc>
      </w:tr>
      <w:tr>
        <w:tc>
          <w:tcPr>
            <w:tcW w:type="dxa" w:w="720"/>
          </w:tcPr>
          <w:p>
            <w:r>
              <w:rPr>
                <w:sz w:val="17"/>
              </w:rPr>
              <w:t>3</w:t>
            </w:r>
          </w:p>
        </w:tc>
        <w:tc>
          <w:tcPr>
            <w:tcW w:type="dxa" w:w="4320"/>
          </w:tcPr>
          <w:p>
            <w:r>
              <w:rPr>
                <w:sz w:val="17"/>
              </w:rPr>
              <w:t>(Address not on Tribal lands.) Apply STANDARD Lifeline.</w:t>
            </w:r>
          </w:p>
        </w:tc>
        <w:tc>
          <w:tcPr>
            <w:tcW w:type="dxa" w:w="2880"/>
          </w:tcPr>
          <w:p>
            <w:r>
              <w:rPr>
                <w:sz w:val="17"/>
              </w:rPr>
              <w:t>Standard Lifeline: up to $9.25/mo. Go to step 4 for plan routing.</w:t>
            </w:r>
          </w:p>
        </w:tc>
        <w:tc>
          <w:tcPr>
            <w:tcW w:type="dxa" w:w="2880"/>
          </w:tcPr>
          <w:p>
            <w:r>
              <w:rPr>
                <w:sz w:val="17"/>
              </w:rPr>
              <w:t>—</w:t>
            </w:r>
          </w:p>
        </w:tc>
      </w:tr>
      <w:tr>
        <w:tc>
          <w:tcPr>
            <w:tcW w:type="dxa" w:w="720"/>
          </w:tcPr>
          <w:p>
            <w:r>
              <w:rPr>
                <w:sz w:val="17"/>
              </w:rPr>
              <w:t>4</w:t>
            </w:r>
          </w:p>
        </w:tc>
        <w:tc>
          <w:tcPr>
            <w:tcW w:type="dxa" w:w="4320"/>
          </w:tcPr>
          <w:p>
            <w:r>
              <w:rPr>
                <w:sz w:val="17"/>
              </w:rPr>
              <w:t>Is the applicant a senior (plan routing only)?</w:t>
            </w:r>
          </w:p>
        </w:tc>
        <w:tc>
          <w:tcPr>
            <w:tcW w:type="dxa" w:w="2880"/>
          </w:tcPr>
          <w:p>
            <w:r>
              <w:rPr>
                <w:sz w:val="17"/>
              </w:rPr>
              <w:t>Route to the $10 Senior 100/100 plan; apply the up-to-$9.25 credit as a top-up/offset against the $10.</w:t>
            </w:r>
          </w:p>
        </w:tc>
        <w:tc>
          <w:tcPr>
            <w:tcW w:type="dxa" w:w="2880"/>
          </w:tcPr>
          <w:p>
            <w:r>
              <w:rPr>
                <w:sz w:val="17"/>
              </w:rPr>
              <w:t>Apply the up-to-$9.25 credit to the applicable RIVR plan the customer selects.</w:t>
            </w:r>
          </w:p>
        </w:tc>
      </w:tr>
    </w:tbl>
    <w:p>
      <w:r>
        <w:rPr>
          <w:b w:val="0"/>
          <w:i w:val="0"/>
          <w:sz w:val="21"/>
        </w:rPr>
        <w:t>Same logic as nested bullets:</w:t>
      </w:r>
    </w:p>
    <w:p>
      <w:pPr>
        <w:pStyle w:val="ListBullet"/>
      </w:pPr>
      <w:r>
        <w:t>Standard-eligible (NV approved)?</w:t>
      </w:r>
    </w:p>
    <w:p>
      <w:pPr>
        <w:pStyle w:val="ListBullet2"/>
      </w:pPr>
      <w:r>
        <w:t>NO → No Lifeline. Retail plan only (a senior may still buy the $10 Senior commercial plan, but with no federal subsidy).</w:t>
      </w:r>
    </w:p>
    <w:p>
      <w:pPr>
        <w:pStyle w:val="ListBullet2"/>
      </w:pPr>
      <w:r>
        <w:t>YES → Tribal-lands address verified via TLVT?</w:t>
      </w:r>
    </w:p>
    <w:p>
      <w:pPr>
        <w:pStyle w:val="ListBullet2"/>
      </w:pPr>
      <w:r>
        <w:t>YES → Enhanced Tribal: up to $34.25/mo (assume 0 qualifying today — SR-5.5).</w:t>
      </w:r>
    </w:p>
    <w:p>
      <w:pPr>
        <w:pStyle w:val="ListBullet2"/>
      </w:pPr>
      <w:r>
        <w:t>NO → Standard Lifeline: up to $9.25/mo.</w:t>
      </w:r>
    </w:p>
    <w:p>
      <w:pPr>
        <w:pStyle w:val="ListBullet2"/>
      </w:pPr>
      <w:r>
        <w:t>Senior? → route to $10 Senior plan; the $9.25 credit tops up / offsets the $10.</w:t>
      </w:r>
    </w:p>
    <w:p>
      <w:pPr>
        <w:pStyle w:val="ListBullet2"/>
      </w:pPr>
      <w:r>
        <w:t>Not a senior? → apply the $9.25 credit to the customer's chosen RIVR plan.</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Enhanced Tribal is address-based and, on today's facts, resolves to 0 qualifying subscribers. Never route to $34.25 on the basis of Lumbee membership or four-county residence (SR-5.5, SR-5.6).</w:t>
            </w:r>
          </w:p>
        </w:tc>
      </w:tr>
    </w:tbl>
    <w:p>
      <w:pPr>
        <w:pStyle w:val="Heading1"/>
      </w:pPr>
      <w:r>
        <w:t>D. De-enrollment &amp; lifecycle SOPs</w:t>
      </w:r>
    </w:p>
    <w:p>
      <w:r>
        <w:rPr>
          <w:b w:val="0"/>
          <w:i w:val="0"/>
          <w:sz w:val="21"/>
        </w:rPr>
        <w:t>These procedures govern the subscriber lifecycle after enrollment. The overriding financial rule: removing a benefit reverses FUTURE subsidies only. There is NO improper retroactive billing of the customer for periods already served in good faith.</w:t>
      </w:r>
    </w:p>
    <w:tbl>
      <w:tblPr>
        <w:tblW w:type="auto" w:w="0"/>
        <w:jc w:val="center"/>
        <w:tblLook w:firstColumn="1" w:firstRow="1" w:lastColumn="0" w:lastRow="0" w:noHBand="0" w:noVBand="1" w:val="04A0"/>
      </w:tblPr>
      <w:tblGrid>
        <w:gridCol w:w="8640"/>
      </w:tblGrid>
      <w:tr>
        <w:tc>
          <w:tcPr>
            <w:tcW w:type="dxa" w:w="8640"/>
            <w:shd w:val="clear" w:fill="F8CBAD"/>
          </w:tcPr>
          <w:p>
            <w:r>
              <w:rPr>
                <w:b/>
                <w:color w:val="C00000"/>
                <w:sz w:val="20"/>
              </w:rPr>
              <w:t>⛔ Reversal rule (applies to every SOP in this section): stop or adjust the subsidy going FORWARD from the effective de-enrollment/change date. Do NOT retroactively bill the customer for prior periods already covered by the credit. Recover improperly claimed reimbursement from USAC per USAC process, never from the subscriber.</w:t>
            </w:r>
          </w:p>
        </w:tc>
      </w:tr>
    </w:tbl>
    <w:p>
      <w:pPr>
        <w:pStyle w:val="Heading2"/>
      </w:pPr>
      <w:r>
        <w:t>D.1 Annual recertification</w:t>
      </w:r>
    </w:p>
    <w:p>
      <w:r>
        <w:rPr>
          <w:b w:val="0"/>
          <w:i/>
          <w:color w:val="595959"/>
          <w:sz w:val="21"/>
        </w:rPr>
        <w:t>Each subscriber must recertify eligibility annually.</w:t>
      </w:r>
    </w:p>
    <w:p>
      <w:pPr>
        <w:pStyle w:val="ListNumber"/>
      </w:pPr>
      <w:r>
        <w:t>CO monitors USAC's recertification schedule and the automated data-source check result for each subscriber (SR-3.3).</w:t>
      </w:r>
    </w:p>
    <w:p>
      <w:pPr>
        <w:pStyle w:val="ListNumber"/>
      </w:pPr>
      <w:r>
        <w:t>If the data-source check PASSES, CO records the pass; no customer action needed.</w:t>
      </w:r>
    </w:p>
    <w:p>
      <w:pPr>
        <w:pStyle w:val="ListNumber"/>
      </w:pPr>
      <w:r>
        <w:t>If the data-source check FAILS, CSR notifies the subscriber that they must respond and recertify.</w:t>
      </w:r>
    </w:p>
    <w:p>
      <w:pPr>
        <w:pStyle w:val="ListNumber"/>
      </w:pPr>
      <w:r>
        <w:t>The subscriber has 60 days from the recertification failure/notice to respond or is de-enrolled (SR-3.3).</w:t>
      </w:r>
    </w:p>
    <w:p>
      <w:pPr>
        <w:pStyle w:val="ListNumber"/>
      </w:pPr>
      <w:r>
        <w:t>CSR sends reminder notices within the 60-day window (e.g., at day 15, 30, 50).</w:t>
      </w:r>
    </w:p>
    <w:p>
      <w:pPr>
        <w:pStyle w:val="ListNumber"/>
      </w:pPr>
      <w:r>
        <w:t>If the subscriber recertifies in time, CO records the result; benefit continues.</w:t>
      </w:r>
    </w:p>
    <w:p>
      <w:pPr>
        <w:pStyle w:val="ListNumber"/>
      </w:pPr>
      <w:r>
        <w:t>If the 60-day window closes with no valid response, CO de-enrolls the subscriber in NLAD (see D.7).</w:t>
      </w:r>
    </w:p>
    <w:p>
      <w:pPr>
        <w:pStyle w:val="ListNumber"/>
      </w:pPr>
      <w:r>
        <w:t>BILL removes the credit effective from the de-enrollment date (future only). CSR sends the de-enrollment notice.</w:t>
      </w:r>
    </w:p>
    <w:p>
      <w:pPr>
        <w:pStyle w:val="ListNumber"/>
      </w:pPr>
      <w:r>
        <w:t>QC/CO retain the recertification correspondence and outcome (CP-15).</w:t>
      </w:r>
    </w:p>
    <w:p>
      <w:pPr>
        <w:pStyle w:val="Heading2"/>
      </w:pPr>
      <w:r>
        <w:t>D.2 Customer-reported loss of eligibility</w:t>
      </w:r>
    </w:p>
    <w:p>
      <w:pPr>
        <w:pStyle w:val="ListNumber"/>
      </w:pPr>
      <w:r>
        <w:t>Subscriber notifies RIVR they no longer qualify (e.g., left Medicaid/SNAP, income rose).</w:t>
      </w:r>
    </w:p>
    <w:p>
      <w:pPr>
        <w:pStyle w:val="ListNumber"/>
      </w:pPr>
      <w:r>
        <w:t>CSR logs the report with date and reason; CO reviews.</w:t>
      </w:r>
    </w:p>
    <w:p>
      <w:pPr>
        <w:pStyle w:val="ListNumber"/>
      </w:pPr>
      <w:r>
        <w:t>CO de-enrolls the subscriber in NLAD promptly (SR-3.5).</w:t>
      </w:r>
    </w:p>
    <w:p>
      <w:pPr>
        <w:pStyle w:val="ListNumber"/>
      </w:pPr>
      <w:r>
        <w:t>BILL removes the credit effective from the loss-of-eligibility date going forward; no retroactive customer billing.</w:t>
      </w:r>
    </w:p>
    <w:p>
      <w:pPr>
        <w:pStyle w:val="ListNumber"/>
      </w:pPr>
      <w:r>
        <w:t>CSR offers conversion to a standard retail plan (see D.10) and sends the de-enrollment/transition notice.</w:t>
      </w:r>
    </w:p>
    <w:p>
      <w:pPr>
        <w:pStyle w:val="ListNumber"/>
      </w:pPr>
      <w:r>
        <w:t>CO retains the customer's report and the de-enrollment record.</w:t>
      </w:r>
    </w:p>
    <w:p>
      <w:pPr>
        <w:pStyle w:val="Heading2"/>
      </w:pPr>
      <w:r>
        <w:t>D.3 Duplicate-benefit notification</w:t>
      </w:r>
    </w:p>
    <w:p>
      <w:pPr>
        <w:pStyle w:val="ListNumber"/>
      </w:pPr>
      <w:r>
        <w:t>USAC/NLAD flags a duplicate benefit (same subscriber or same household).</w:t>
      </w:r>
    </w:p>
    <w:p>
      <w:pPr>
        <w:pStyle w:val="ListNumber"/>
      </w:pPr>
      <w:r>
        <w:t>CO investigates: is it a true duplicate, a household/economic-unit issue, or a pending transfer?</w:t>
      </w:r>
    </w:p>
    <w:p>
      <w:pPr>
        <w:pStyle w:val="ListNumber"/>
      </w:pPr>
      <w:r>
        <w:t>If a genuine duplicate at RIVR, CO resolves by de-enrolling the improper record (usually the later one) in NLAD.</w:t>
      </w:r>
    </w:p>
    <w:p>
      <w:pPr>
        <w:pStyle w:val="ListNumber"/>
      </w:pPr>
      <w:r>
        <w:t>If it is a one-per-household worksheet issue, CO obtains/reviews the worksheet and corrects the record.</w:t>
      </w:r>
    </w:p>
    <w:p>
      <w:pPr>
        <w:pStyle w:val="ListNumber"/>
      </w:pPr>
      <w:r>
        <w:t>BILL adjusts the credit forward from resolution; CSR notifies the subscriber of the outcome.</w:t>
      </w:r>
    </w:p>
    <w:p>
      <w:pPr>
        <w:pStyle w:val="ListNumber"/>
      </w:pPr>
      <w:r>
        <w:t>CO retains the investigation notes and NLAD actions.</w:t>
      </w:r>
    </w:p>
    <w:p>
      <w:pPr>
        <w:pStyle w:val="Heading2"/>
      </w:pPr>
      <w:r>
        <w:t>D.4 Address change</w:t>
      </w:r>
    </w:p>
    <w:p>
      <w:pPr>
        <w:pStyle w:val="ListNumber"/>
      </w:pPr>
      <w:r>
        <w:t>Subscriber reports a new principal-residence address; CSR captures it in NISC.</w:t>
      </w:r>
    </w:p>
    <w:p>
      <w:pPr>
        <w:pStyle w:val="ListNumber"/>
      </w:pPr>
      <w:r>
        <w:t>CO RE-RUNS the USAC TLVT on the NEW address whenever any Tribal benefit is or could be involved (SR-4.4). Enhanced status does NOT travel with the customer.</w:t>
      </w:r>
    </w:p>
    <w:p>
      <w:pPr>
        <w:pStyle w:val="ListNumber"/>
      </w:pPr>
      <w:r>
        <w:t>If the new address is NOT on qualifying Tribal lands, CO removes the NLAD Tribal flag and steps the benefit down to standard (up to $9.25) going forward.</w:t>
      </w:r>
    </w:p>
    <w:p>
      <w:pPr>
        <w:pStyle w:val="ListNumber"/>
      </w:pPr>
      <w:r>
        <w:t>CO updates the subscriber's address in NLAD within 10 business days of the change (SR-3.2).</w:t>
      </w:r>
    </w:p>
    <w:p>
      <w:pPr>
        <w:pStyle w:val="ListNumber"/>
      </w:pPr>
      <w:r>
        <w:t>CO re-checks for a duplicate at the new address (one-per-household).</w:t>
      </w:r>
    </w:p>
    <w:p>
      <w:pPr>
        <w:pStyle w:val="ListNumber"/>
      </w:pPr>
      <w:r>
        <w:t>BILL adjusts any credit change forward from the move date; CSR sends confirmation of the new address and benefit level.</w:t>
      </w:r>
    </w:p>
    <w:p>
      <w:pPr>
        <w:pStyle w:val="ListNumber"/>
      </w:pPr>
      <w:r>
        <w:t>CO retains the updated TLVT result and address-change record.</w:t>
      </w:r>
    </w:p>
    <w:p>
      <w:pPr>
        <w:pStyle w:val="Heading2"/>
      </w:pPr>
      <w:r>
        <w:t>D.5 Death of subscriber</w:t>
      </w:r>
    </w:p>
    <w:p>
      <w:pPr>
        <w:pStyle w:val="ListNumber"/>
      </w:pPr>
      <w:r>
        <w:t>RIVR is notified of the subscriber's death (family, returned mail, obituary, or account contact).</w:t>
      </w:r>
    </w:p>
    <w:p>
      <w:pPr>
        <w:pStyle w:val="ListNumber"/>
      </w:pPr>
      <w:r>
        <w:t>CSR logs the notification and date; CO verifies to a reasonable standard.</w:t>
      </w:r>
    </w:p>
    <w:p>
      <w:pPr>
        <w:pStyle w:val="ListNumber"/>
      </w:pPr>
      <w:r>
        <w:t>CO de-enrolls the deceased subscriber in NLAD effective from the notification/verification date.</w:t>
      </w:r>
    </w:p>
    <w:p>
      <w:pPr>
        <w:pStyle w:val="ListNumber"/>
      </w:pPr>
      <w:r>
        <w:t>BILL stops the credit going forward; no retroactive clawback from the estate for covered periods.</w:t>
      </w:r>
    </w:p>
    <w:p>
      <w:pPr>
        <w:pStyle w:val="ListNumber"/>
      </w:pPr>
      <w:r>
        <w:t>CSR handles the account (close, transfer to a surviving eligible household member via a NEW enrollment, or convert to retail).</w:t>
      </w:r>
    </w:p>
    <w:p>
      <w:pPr>
        <w:pStyle w:val="ListNumber"/>
      </w:pPr>
      <w:r>
        <w:t>CO retains the notification and de-enrollment record.</w:t>
      </w:r>
    </w:p>
    <w:p>
      <w:pPr>
        <w:pStyle w:val="Heading2"/>
      </w:pPr>
      <w:r>
        <w:t>D.6 Non-usage rule</w:t>
      </w:r>
    </w:p>
    <w:p>
      <w:r>
        <w:rPr>
          <w:b w:val="0"/>
          <w:i/>
          <w:color w:val="595959"/>
          <w:sz w:val="21"/>
        </w:rPr>
        <w:t>The federal non-usage rule (30 days non-use → 15-day cure → terminate) applies ONLY to services with no monthly fee to the subscriber (SR-3.4).</w:t>
      </w:r>
    </w:p>
    <w:p>
      <w:pPr>
        <w:pStyle w:val="ListNumber"/>
      </w:pPr>
      <w:r>
        <w:t>CO first determines applicability: because the Senior plan carries a &gt;$0 customer charge ($10), the non-usage rule generally does NOT apply. [CONFIRM applicability with counsel given the $10 charge — SR-3.4].</w:t>
      </w:r>
    </w:p>
    <w:p>
      <w:pPr>
        <w:pStyle w:val="ListNumber"/>
      </w:pPr>
      <w:r>
        <w:t>IF (and only if) a $0-to-subscriber service is ever offered: CO monitors for 30 consecutive days of non-use.</w:t>
      </w:r>
    </w:p>
    <w:p>
      <w:pPr>
        <w:pStyle w:val="ListNumber"/>
      </w:pPr>
      <w:r>
        <w:t>At 30 days non-use, CSR sends the 15-day cure notice.</w:t>
      </w:r>
    </w:p>
    <w:p>
      <w:pPr>
        <w:pStyle w:val="ListNumber"/>
      </w:pPr>
      <w:r>
        <w:t>If the subscriber uses the service within 15 days, the benefit continues.</w:t>
      </w:r>
    </w:p>
    <w:p>
      <w:pPr>
        <w:pStyle w:val="ListNumber"/>
      </w:pPr>
      <w:r>
        <w:t>If uncured after 15 days, CO de-enrolls in NLAD; BILL stops the credit going forward.</w:t>
      </w:r>
    </w:p>
    <w:p>
      <w:pPr>
        <w:pStyle w:val="ListNumber"/>
      </w:pPr>
      <w:r>
        <w:t>CO retains the usage log, cure notice, and outcome.</w:t>
      </w:r>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[CONFIRM] Do not implement automated non-usage de-enrollment on any plan that charges the subscriber a monthly fee until counsel confirms the rule's applicability to the $10 Senior plan (SR-3.4).</w:t>
            </w:r>
          </w:p>
        </w:tc>
      </w:tr>
    </w:tbl>
    <w:p>
      <w:pPr>
        <w:pStyle w:val="Heading2"/>
      </w:pPr>
      <w:r>
        <w:t>D.7 Failure to recertify → de-enroll</w:t>
      </w:r>
    </w:p>
    <w:p>
      <w:pPr>
        <w:pStyle w:val="ListNumber"/>
      </w:pPr>
      <w:r>
        <w:t>The 60-day recertification window (D.1) closes with no valid subscriber response (SR-3.3).</w:t>
      </w:r>
    </w:p>
    <w:p>
      <w:pPr>
        <w:pStyle w:val="ListNumber"/>
      </w:pPr>
      <w:r>
        <w:t>CO confirms no response is on file and no pending documentation exists.</w:t>
      </w:r>
    </w:p>
    <w:p>
      <w:pPr>
        <w:pStyle w:val="ListNumber"/>
      </w:pPr>
      <w:r>
        <w:t>CO de-enrolls the subscriber in NLAD, citing failure to recertify (SR-3.5).</w:t>
      </w:r>
    </w:p>
    <w:p>
      <w:pPr>
        <w:pStyle w:val="ListNumber"/>
      </w:pPr>
      <w:r>
        <w:t>BILL removes the credit effective from the de-enrollment date (future only).</w:t>
      </w:r>
    </w:p>
    <w:p>
      <w:pPr>
        <w:pStyle w:val="ListNumber"/>
      </w:pPr>
      <w:r>
        <w:t>CSR sends the de-enrollment notice explaining how to re-apply and offering a retail plan (D.10).</w:t>
      </w:r>
    </w:p>
    <w:p>
      <w:pPr>
        <w:pStyle w:val="ListNumber"/>
      </w:pPr>
      <w:r>
        <w:t>CO retains the recertification history and de-enrollment record.</w:t>
      </w:r>
    </w:p>
    <w:p>
      <w:pPr>
        <w:pStyle w:val="Heading2"/>
      </w:pPr>
      <w:r>
        <w:t>D.8 Benefit transfer OUT (customer moves to another provider)</w:t>
      </w:r>
    </w:p>
    <w:p>
      <w:pPr>
        <w:pStyle w:val="ListNumber"/>
      </w:pPr>
      <w:r>
        <w:t>Another carrier initiates a consent-based benefit transfer in NLAD; RIVR sees the transfer-out (SR-3.6).</w:t>
      </w:r>
    </w:p>
    <w:p>
      <w:pPr>
        <w:pStyle w:val="ListNumber"/>
      </w:pPr>
      <w:r>
        <w:t>CO confirms the transfer is legitimate (customer-initiated with consent at the new provider).</w:t>
      </w:r>
    </w:p>
    <w:p>
      <w:pPr>
        <w:pStyle w:val="ListNumber"/>
      </w:pPr>
      <w:r>
        <w:t>CO records that the benefit has left RIVR; the NLAD record moves to the new provider.</w:t>
      </w:r>
    </w:p>
    <w:p>
      <w:pPr>
        <w:pStyle w:val="ListNumber"/>
      </w:pPr>
      <w:r>
        <w:t>BILL removes the Lifeline credit at RIVR going forward from the transfer date.</w:t>
      </w:r>
    </w:p>
    <w:p>
      <w:pPr>
        <w:pStyle w:val="ListNumber"/>
      </w:pPr>
      <w:r>
        <w:t>CSR contacts the customer to confirm whether they wish to keep RIVR service on a retail plan (D.10) or cancel.</w:t>
      </w:r>
    </w:p>
    <w:p>
      <w:pPr>
        <w:pStyle w:val="ListNumber"/>
      </w:pPr>
      <w:r>
        <w:t>CO retains the transfer-out record.</w:t>
      </w:r>
    </w:p>
    <w:p>
      <w:pPr>
        <w:pStyle w:val="Heading2"/>
      </w:pPr>
      <w:r>
        <w:t>D.9 Program termination</w:t>
      </w:r>
    </w:p>
    <w:p>
      <w:r>
        <w:rPr>
          <w:b w:val="0"/>
          <w:i/>
          <w:color w:val="595959"/>
          <w:sz w:val="21"/>
        </w:rPr>
        <w:t>Applies if RIVR exits Lifeline or the program winds down.</w:t>
      </w:r>
    </w:p>
    <w:p>
      <w:pPr>
        <w:pStyle w:val="ListNumber"/>
      </w:pPr>
      <w:r>
        <w:t>CO obtains the internal decision/date to terminate Lifeline participation and any required USAC/NCUC notice obligations.</w:t>
      </w:r>
    </w:p>
    <w:p>
      <w:pPr>
        <w:pStyle w:val="ListNumber"/>
      </w:pPr>
      <w:r>
        <w:t>CSR sends advance written notice to all affected subscribers with the termination date and their options.</w:t>
      </w:r>
    </w:p>
    <w:p>
      <w:pPr>
        <w:pStyle w:val="ListNumber"/>
      </w:pPr>
      <w:r>
        <w:t>CO de-enrolls subscribers in NLAD per the orderly wind-down schedule; benefits stop going forward only.</w:t>
      </w:r>
    </w:p>
    <w:p>
      <w:pPr>
        <w:pStyle w:val="ListNumber"/>
      </w:pPr>
      <w:r>
        <w:t>BILL transitions each subscriber to a retail plan (D.10) or processes cancellation per the customer's choice.</w:t>
      </w:r>
    </w:p>
    <w:p>
      <w:pPr>
        <w:pStyle w:val="ListNumber"/>
      </w:pPr>
      <w:r>
        <w:t>CO files the final claims and retains all records for the full §54.417 retention period (SR-6.11).</w:t>
      </w:r>
    </w:p>
    <w:p>
      <w:pPr>
        <w:pStyle w:val="ListNumber"/>
      </w:pPr>
      <w:r>
        <w:t>CO documents the termination and notice delivery for audit.</w:t>
      </w:r>
    </w:p>
    <w:p>
      <w:pPr>
        <w:pStyle w:val="Heading2"/>
      </w:pPr>
      <w:r>
        <w:t>D.10 Conversion to standard retail plan</w:t>
      </w:r>
    </w:p>
    <w:p>
      <w:pPr>
        <w:pStyle w:val="ListNumber"/>
      </w:pPr>
      <w:r>
        <w:t>Trigger: any de-enrollment (D.1–D.9) where the customer wants to keep RIVR service without the Lifeline credit.</w:t>
      </w:r>
    </w:p>
    <w:p>
      <w:pPr>
        <w:pStyle w:val="ListNumber"/>
      </w:pPr>
      <w:r>
        <w:t>CSR explains the new net price (retail price without the credit) and confirms the customer's choice.</w:t>
      </w:r>
    </w:p>
    <w:p>
      <w:pPr>
        <w:pStyle w:val="ListNumber"/>
      </w:pPr>
      <w:r>
        <w:t>BILL removes the Lifeline credit and moves the account to the selected retail plan in NISC, effective the next clean cycle.</w:t>
      </w:r>
    </w:p>
    <w:p>
      <w:pPr>
        <w:pStyle w:val="ListNumber"/>
      </w:pPr>
      <w:r>
        <w:t>CSR sends written confirmation of the plan change and new billing amount BEFORE the first full retail charge.</w:t>
      </w:r>
    </w:p>
    <w:p>
      <w:pPr>
        <w:pStyle w:val="ListNumber"/>
      </w:pPr>
      <w:r>
        <w:t>CO confirms the subscriber is de-enrolled from NLAD so no further Lifeline claim is made.</w:t>
      </w:r>
    </w:p>
    <w:p>
      <w:pPr>
        <w:pStyle w:val="ListNumber"/>
      </w:pPr>
      <w:r>
        <w:t>CO retains the conversion record.</w:t>
      </w:r>
    </w:p>
    <w:p>
      <w:pPr>
        <w:pStyle w:val="Heading2"/>
      </w:pPr>
      <w:r>
        <w:t>D.11 Required customer notices &amp; timing</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2E5496"/>
          </w:tcPr>
          <w:p>
            <w:r>
              <w:rPr>
                <w:b/>
                <w:color w:val="FFFFFF"/>
                <w:sz w:val="18"/>
              </w:rPr>
              <w:t>Event</w:t>
            </w:r>
          </w:p>
        </w:tc>
        <w:tc>
          <w:tcPr>
            <w:tcW w:type="dxa" w:w="4320"/>
            <w:shd w:val="clear" w:fill="2E5496"/>
          </w:tcPr>
          <w:p>
            <w:r>
              <w:rPr>
                <w:b/>
                <w:color w:val="FFFFFF"/>
                <w:sz w:val="18"/>
              </w:rPr>
              <w:t>Notice to customer</w:t>
            </w:r>
          </w:p>
        </w:tc>
        <w:tc>
          <w:tcPr>
            <w:tcW w:type="dxa" w:w="2880"/>
            <w:shd w:val="clear" w:fill="2E5496"/>
          </w:tcPr>
          <w:p>
            <w:r>
              <w:rPr>
                <w:b/>
                <w:color w:val="FFFFFF"/>
                <w:sz w:val="18"/>
              </w:rPr>
              <w:t>Timing</w:t>
            </w:r>
          </w:p>
        </w:tc>
      </w:tr>
      <w:tr>
        <w:tc>
          <w:tcPr>
            <w:tcW w:type="dxa" w:w="2304"/>
          </w:tcPr>
          <w:p>
            <w:r>
              <w:rPr>
                <w:sz w:val="17"/>
              </w:rPr>
              <w:t>Enrollment confirmed</w:t>
            </w:r>
          </w:p>
        </w:tc>
        <w:tc>
          <w:tcPr>
            <w:tcW w:type="dxa" w:w="4320"/>
          </w:tcPr>
          <w:p>
            <w:r>
              <w:rPr>
                <w:sz w:val="17"/>
              </w:rPr>
              <w:t>Plan, credit amount, recertification duty, rights (CP-13)</w:t>
            </w:r>
          </w:p>
        </w:tc>
        <w:tc>
          <w:tcPr>
            <w:tcW w:type="dxa" w:w="2880"/>
          </w:tcPr>
          <w:p>
            <w:r>
              <w:rPr>
                <w:sz w:val="17"/>
              </w:rPr>
              <w:t>At enrollment</w:t>
            </w:r>
          </w:p>
        </w:tc>
      </w:tr>
      <w:tr>
        <w:tc>
          <w:tcPr>
            <w:tcW w:type="dxa" w:w="2304"/>
          </w:tcPr>
          <w:p>
            <w:r>
              <w:rPr>
                <w:sz w:val="17"/>
              </w:rPr>
              <w:t>Recertification due / failed check</w:t>
            </w:r>
          </w:p>
        </w:tc>
        <w:tc>
          <w:tcPr>
            <w:tcW w:type="dxa" w:w="4320"/>
          </w:tcPr>
          <w:p>
            <w:r>
              <w:rPr>
                <w:sz w:val="17"/>
              </w:rPr>
              <w:t>Must respond to keep benefit</w:t>
            </w:r>
          </w:p>
        </w:tc>
        <w:tc>
          <w:tcPr>
            <w:tcW w:type="dxa" w:w="2880"/>
          </w:tcPr>
          <w:p>
            <w:r>
              <w:rPr>
                <w:sz w:val="17"/>
              </w:rPr>
              <w:t>At failure; reminders through the 60-day window (SR-3.3)</w:t>
            </w:r>
          </w:p>
        </w:tc>
      </w:tr>
      <w:tr>
        <w:tc>
          <w:tcPr>
            <w:tcW w:type="dxa" w:w="2304"/>
          </w:tcPr>
          <w:p>
            <w:r>
              <w:rPr>
                <w:sz w:val="17"/>
              </w:rPr>
              <w:t>Non-usage (only if applicable)</w:t>
            </w:r>
          </w:p>
        </w:tc>
        <w:tc>
          <w:tcPr>
            <w:tcW w:type="dxa" w:w="4320"/>
          </w:tcPr>
          <w:p>
            <w:r>
              <w:rPr>
                <w:sz w:val="17"/>
              </w:rPr>
              <w:t>15-day cure notice</w:t>
            </w:r>
          </w:p>
        </w:tc>
        <w:tc>
          <w:tcPr>
            <w:tcW w:type="dxa" w:w="2880"/>
          </w:tcPr>
          <w:p>
            <w:r>
              <w:rPr>
                <w:sz w:val="17"/>
              </w:rPr>
              <w:t>At 30 days non-use (SR-3.4) [CONFIRM]</w:t>
            </w:r>
          </w:p>
        </w:tc>
      </w:tr>
      <w:tr>
        <w:tc>
          <w:tcPr>
            <w:tcW w:type="dxa" w:w="2304"/>
          </w:tcPr>
          <w:p>
            <w:r>
              <w:rPr>
                <w:sz w:val="17"/>
              </w:rPr>
              <w:t>Address change processed</w:t>
            </w:r>
          </w:p>
        </w:tc>
        <w:tc>
          <w:tcPr>
            <w:tcW w:type="dxa" w:w="4320"/>
          </w:tcPr>
          <w:p>
            <w:r>
              <w:rPr>
                <w:sz w:val="17"/>
              </w:rPr>
              <w:t>New address + resulting benefit level</w:t>
            </w:r>
          </w:p>
        </w:tc>
        <w:tc>
          <w:tcPr>
            <w:tcW w:type="dxa" w:w="2880"/>
          </w:tcPr>
          <w:p>
            <w:r>
              <w:rPr>
                <w:sz w:val="17"/>
              </w:rPr>
              <w:t>After NLAD update (≤10 business days, SR-3.2)</w:t>
            </w:r>
          </w:p>
        </w:tc>
      </w:tr>
      <w:tr>
        <w:tc>
          <w:tcPr>
            <w:tcW w:type="dxa" w:w="2304"/>
          </w:tcPr>
          <w:p>
            <w:r>
              <w:rPr>
                <w:sz w:val="17"/>
              </w:rPr>
              <w:t>De-enrollment (any cause)</w:t>
            </w:r>
          </w:p>
        </w:tc>
        <w:tc>
          <w:tcPr>
            <w:tcW w:type="dxa" w:w="4320"/>
          </w:tcPr>
          <w:p>
            <w:r>
              <w:rPr>
                <w:sz w:val="17"/>
              </w:rPr>
              <w:t>Reason, effective date, re-apply path, retail options</w:t>
            </w:r>
          </w:p>
        </w:tc>
        <w:tc>
          <w:tcPr>
            <w:tcW w:type="dxa" w:w="2880"/>
          </w:tcPr>
          <w:p>
            <w:r>
              <w:rPr>
                <w:sz w:val="17"/>
              </w:rPr>
              <w:t>At or before the effective de-enrollment date</w:t>
            </w:r>
          </w:p>
        </w:tc>
      </w:tr>
      <w:tr>
        <w:tc>
          <w:tcPr>
            <w:tcW w:type="dxa" w:w="2304"/>
          </w:tcPr>
          <w:p>
            <w:r>
              <w:rPr>
                <w:sz w:val="17"/>
              </w:rPr>
              <w:t>Conversion to retail</w:t>
            </w:r>
          </w:p>
        </w:tc>
        <w:tc>
          <w:tcPr>
            <w:tcW w:type="dxa" w:w="4320"/>
          </w:tcPr>
          <w:p>
            <w:r>
              <w:rPr>
                <w:sz w:val="17"/>
              </w:rPr>
              <w:t>New net price before first full retail charge</w:t>
            </w:r>
          </w:p>
        </w:tc>
        <w:tc>
          <w:tcPr>
            <w:tcW w:type="dxa" w:w="2880"/>
          </w:tcPr>
          <w:p>
            <w:r>
              <w:rPr>
                <w:sz w:val="17"/>
              </w:rPr>
              <w:t>Before the first retail billing cycle</w:t>
            </w:r>
          </w:p>
        </w:tc>
      </w:tr>
      <w:tr>
        <w:tc>
          <w:tcPr>
            <w:tcW w:type="dxa" w:w="2304"/>
          </w:tcPr>
          <w:p>
            <w:r>
              <w:rPr>
                <w:sz w:val="17"/>
              </w:rPr>
              <w:t>Program termination</w:t>
            </w:r>
          </w:p>
        </w:tc>
        <w:tc>
          <w:tcPr>
            <w:tcW w:type="dxa" w:w="4320"/>
          </w:tcPr>
          <w:p>
            <w:r>
              <w:rPr>
                <w:sz w:val="17"/>
              </w:rPr>
              <w:t>Termination date + options</w:t>
            </w:r>
          </w:p>
        </w:tc>
        <w:tc>
          <w:tcPr>
            <w:tcW w:type="dxa" w:w="2880"/>
          </w:tcPr>
          <w:p>
            <w:r>
              <w:rPr>
                <w:sz w:val="17"/>
              </w:rPr>
              <w:t>Advance written notice before termination</w:t>
            </w:r>
          </w:p>
        </w:tc>
      </w:tr>
    </w:tbl>
    <w:p>
      <w:pPr>
        <w:pStyle w:val="Heading2"/>
      </w:pPr>
      <w:r>
        <w:t>D.12 Reversal of FUTURE subsidies only — no improper retroactive billing</w:t>
      </w:r>
    </w:p>
    <w:p>
      <w:r>
        <w:rPr>
          <w:b w:val="0"/>
          <w:i w:val="0"/>
          <w:sz w:val="21"/>
        </w:rPr>
        <w:t>This is a standalone control that governs every de-enrollment and downgrade above.</w:t>
      </w:r>
    </w:p>
    <w:p>
      <w:pPr>
        <w:pStyle w:val="ListNumber"/>
      </w:pPr>
      <w:r>
        <w:t>When any de-enrollment or benefit downgrade occurs, BILL adjusts the subsidy PROSPECTIVELY from the effective date.</w:t>
      </w:r>
    </w:p>
    <w:p>
      <w:pPr>
        <w:pStyle w:val="ListNumber"/>
      </w:pPr>
      <w:r>
        <w:t>The subscriber is NEVER retroactively billed for prior periods that were properly covered by the credit.</w:t>
      </w:r>
    </w:p>
    <w:p>
      <w:pPr>
        <w:pStyle w:val="ListNumber"/>
      </w:pPr>
      <w:r>
        <w:t>Where RIVR over-claimed reimbursement from USAC, CO handles recovery through the USAC true-up/repayment process — not by charging the customer.</w:t>
      </w:r>
    </w:p>
    <w:p>
      <w:pPr>
        <w:pStyle w:val="ListNumber"/>
      </w:pPr>
      <w:r>
        <w:t>Where enhanced Tribal was applied and later found not address-qualified, step down to standard going forward and, if the enhanced amount was improperly claimed, remediate with USAC — do not back-bill the subscriber.</w:t>
      </w:r>
    </w:p>
    <w:p>
      <w:pPr>
        <w:pStyle w:val="ListNumber"/>
      </w:pPr>
      <w:r>
        <w:t>CO documents every reversal with its effective date and the reason.</w:t>
      </w:r>
    </w:p>
    <w:p>
      <w:pPr>
        <w:pStyle w:val="Heading1"/>
      </w:pPr>
      <w:r>
        <w:t>E. Reasonable accommodations &amp; authorized representatives</w:t>
      </w:r>
    </w:p>
    <w:p>
      <w:pPr>
        <w:pStyle w:val="Heading2"/>
      </w:pPr>
      <w:r>
        <w:t>E.1 Reasonable accommodations (ADA)</w:t>
      </w:r>
    </w:p>
    <w:p>
      <w:pPr>
        <w:pStyle w:val="ListNumber"/>
      </w:pPr>
      <w:r>
        <w:t>At first contact, CSR/ER offers accommodations for customers with disabilities (large-print or accessible notices, extended time, alternative-format documents, TTY/relay, in-person or phone assistance).</w:t>
      </w:r>
    </w:p>
    <w:p>
      <w:pPr>
        <w:pStyle w:val="ListNumber"/>
      </w:pPr>
      <w:r>
        <w:t>CSR records the accommodation requested and provided in the account notes (data-minimized — do not record diagnosis).</w:t>
      </w:r>
    </w:p>
    <w:p>
      <w:pPr>
        <w:pStyle w:val="ListNumber"/>
      </w:pPr>
      <w:r>
        <w:t>The accommodation must not change the eligibility standard: NV approval (CP-8) is still required; only the manner of assistance flexes.</w:t>
      </w:r>
    </w:p>
    <w:p>
      <w:pPr>
        <w:pStyle w:val="ListNumber"/>
      </w:pPr>
      <w:r>
        <w:t>CSR ensures notices in Section D.11 are delivered in the customer's accessible format and, where needed, in the customer's preferred language.</w:t>
      </w:r>
    </w:p>
    <w:p>
      <w:pPr>
        <w:pStyle w:val="ListNumber"/>
      </w:pPr>
      <w:r>
        <w:t>CO retains the accommodation note with the file.</w:t>
      </w:r>
    </w:p>
    <w:p>
      <w:pPr>
        <w:pStyle w:val="Heading2"/>
      </w:pPr>
      <w:r>
        <w:t>E.2 Authorized representatives</w:t>
      </w:r>
    </w:p>
    <w:p>
      <w:pPr>
        <w:pStyle w:val="ListNumber"/>
      </w:pPr>
      <w:r>
        <w:t>A customer may designate an authorized representative (e.g., caregiver, family member) to enroll or manage the benefit on their behalf.</w:t>
      </w:r>
    </w:p>
    <w:p>
      <w:pPr>
        <w:pStyle w:val="ListNumber"/>
      </w:pPr>
      <w:r>
        <w:t>CSR/ER captures the customer's written consent authorizing the representative, including the scope (enroll, recertify, change plan).</w:t>
      </w:r>
    </w:p>
    <w:p>
      <w:pPr>
        <w:pStyle w:val="ListNumber"/>
      </w:pPr>
      <w:r>
        <w:t>The representative provides their own identity; the ELIGIBILITY and certifications still pertain to the subscriber, who must consent to the eligibility statements (CP-4).</w:t>
      </w:r>
    </w:p>
    <w:p>
      <w:pPr>
        <w:pStyle w:val="ListNumber"/>
      </w:pPr>
      <w:r>
        <w:t>For NV, follow USAC's authorized/assisting-party rules; the ER's RAD Rep ID still governs who submits the enrollment.</w:t>
      </w:r>
    </w:p>
    <w:p>
      <w:pPr>
        <w:pStyle w:val="ListNumber"/>
      </w:pPr>
      <w:r>
        <w:t>CSR verifies the representative's authority before disclosing account details or making changes.</w:t>
      </w:r>
    </w:p>
    <w:p>
      <w:pPr>
        <w:pStyle w:val="ListNumber"/>
      </w:pPr>
      <w:r>
        <w:t>CO retains the authorization and consent records with the file (CP-15).</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An authorized representative can act for the customer, but the customer remains the subscriber and the eligibility/consent (CP-4) is theirs. Verify the authorization before any account change.</w:t>
            </w:r>
          </w:p>
        </w:tc>
      </w:tr>
    </w:tbl>
    <w:p>
      <w:pPr>
        <w:pStyle w:val="Heading1"/>
      </w:pPr>
      <w:r>
        <w:t>F. Quality-control checklist (reviewed on EVERY enrollment)</w:t>
      </w:r>
    </w:p>
    <w:p>
      <w:r>
        <w:rPr>
          <w:b w:val="0"/>
          <w:i w:val="0"/>
          <w:sz w:val="21"/>
        </w:rPr>
        <w:t>The QC Reviewer (independent of the enrolling ER) completes this checklist for each enrollment before it becomes eligible to be claimed in LCS. Any 'No' blocks the claim until remediated.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fill="2E5496"/>
          </w:tcPr>
          <w:p>
            <w:r>
              <w:rPr>
                <w:b/>
                <w:color w:val="FFFFFF"/>
                <w:sz w:val="18"/>
              </w:rPr>
              <w:t>#</w:t>
            </w:r>
          </w:p>
        </w:tc>
        <w:tc>
          <w:tcPr>
            <w:tcW w:type="dxa" w:w="5184"/>
            <w:shd w:val="clear" w:fill="2E5496"/>
          </w:tcPr>
          <w:p>
            <w:r>
              <w:rPr>
                <w:b/>
                <w:color w:val="FFFFFF"/>
                <w:sz w:val="18"/>
              </w:rPr>
              <w:t>QC checks (must all be YES)</w:t>
            </w:r>
          </w:p>
        </w:tc>
        <w:tc>
          <w:tcPr>
            <w:tcW w:type="dxa" w:w="1296"/>
            <w:shd w:val="clear" w:fill="2E5496"/>
          </w:tcPr>
          <w:p>
            <w:r>
              <w:rPr>
                <w:b/>
                <w:color w:val="FFFFFF"/>
                <w:sz w:val="18"/>
              </w:rPr>
              <w:t>Control point</w:t>
            </w:r>
          </w:p>
        </w:tc>
        <w:tc>
          <w:tcPr>
            <w:tcW w:type="dxa" w:w="1584"/>
            <w:shd w:val="clear" w:fill="2E5496"/>
          </w:tcPr>
          <w:p>
            <w:r>
              <w:rPr>
                <w:b/>
                <w:color w:val="FFFFFF"/>
                <w:sz w:val="18"/>
              </w:rPr>
              <w:t>Source</w:t>
            </w:r>
          </w:p>
        </w:tc>
      </w:tr>
      <w:tr>
        <w:tc>
          <w:tcPr>
            <w:tcW w:type="dxa" w:w="576"/>
          </w:tcPr>
          <w:p>
            <w:r>
              <w:rPr>
                <w:sz w:val="17"/>
              </w:rPr>
              <w:t>1</w:t>
            </w:r>
          </w:p>
        </w:tc>
        <w:tc>
          <w:tcPr>
            <w:tcW w:type="dxa" w:w="5184"/>
          </w:tcPr>
          <w:p>
            <w:r>
              <w:rPr>
                <w:sz w:val="17"/>
              </w:rPr>
              <w:t>Identity &amp; full principal-residence address captured and legible.</w:t>
            </w:r>
          </w:p>
        </w:tc>
        <w:tc>
          <w:tcPr>
            <w:tcW w:type="dxa" w:w="1296"/>
          </w:tcPr>
          <w:p>
            <w:r>
              <w:rPr>
                <w:sz w:val="17"/>
              </w:rPr>
              <w:t>CP-1</w:t>
            </w:r>
          </w:p>
        </w:tc>
        <w:tc>
          <w:tcPr>
            <w:tcW w:type="dxa" w:w="1584"/>
          </w:tcPr>
          <w:p>
            <w:r>
              <w:rPr>
                <w:sz w:val="17"/>
              </w:rPr>
              <w:t>SR-3.1</w:t>
            </w:r>
          </w:p>
        </w:tc>
      </w:tr>
      <w:tr>
        <w:tc>
          <w:tcPr>
            <w:tcW w:type="dxa" w:w="576"/>
          </w:tcPr>
          <w:p>
            <w:r>
              <w:rPr>
                <w:sz w:val="17"/>
              </w:rPr>
              <w:t>2</w:t>
            </w:r>
          </w:p>
        </w:tc>
        <w:tc>
          <w:tcPr>
            <w:tcW w:type="dxa" w:w="5184"/>
          </w:tcPr>
          <w:p>
            <w:r>
              <w:rPr>
                <w:sz w:val="17"/>
              </w:rPr>
              <w:t>National Verifier application submitted and result attached.</w:t>
            </w:r>
          </w:p>
        </w:tc>
        <w:tc>
          <w:tcPr>
            <w:tcW w:type="dxa" w:w="1296"/>
          </w:tcPr>
          <w:p>
            <w:r>
              <w:rPr>
                <w:sz w:val="17"/>
              </w:rPr>
              <w:t>CP-2</w:t>
            </w:r>
          </w:p>
        </w:tc>
        <w:tc>
          <w:tcPr>
            <w:tcW w:type="dxa" w:w="1584"/>
          </w:tcPr>
          <w:p>
            <w:r>
              <w:rPr>
                <w:sz w:val="17"/>
              </w:rPr>
              <w:t>SR-3.1</w:t>
            </w:r>
          </w:p>
        </w:tc>
      </w:tr>
      <w:tr>
        <w:tc>
          <w:tcPr>
            <w:tcW w:type="dxa" w:w="576"/>
          </w:tcPr>
          <w:p>
            <w:r>
              <w:rPr>
                <w:sz w:val="17"/>
              </w:rPr>
              <w:t>3</w:t>
            </w:r>
          </w:p>
        </w:tc>
        <w:tc>
          <w:tcPr>
            <w:tcW w:type="dxa" w:w="5184"/>
          </w:tcPr>
          <w:p>
            <w:r>
              <w:rPr>
                <w:sz w:val="17"/>
              </w:rPr>
              <w:t>APPROVED NV result exists and is unexpired — dated BEFORE NLAD enrollment.</w:t>
            </w:r>
          </w:p>
        </w:tc>
        <w:tc>
          <w:tcPr>
            <w:tcW w:type="dxa" w:w="1296"/>
          </w:tcPr>
          <w:p>
            <w:r>
              <w:rPr>
                <w:sz w:val="17"/>
              </w:rPr>
              <w:t>CP-8</w:t>
            </w:r>
          </w:p>
        </w:tc>
        <w:tc>
          <w:tcPr>
            <w:tcW w:type="dxa" w:w="1584"/>
          </w:tcPr>
          <w:p>
            <w:r>
              <w:rPr>
                <w:sz w:val="17"/>
              </w:rPr>
              <w:t>SR-3.1</w:t>
            </w:r>
          </w:p>
        </w:tc>
      </w:tr>
      <w:tr>
        <w:tc>
          <w:tcPr>
            <w:tcW w:type="dxa" w:w="576"/>
          </w:tcPr>
          <w:p>
            <w:r>
              <w:rPr>
                <w:sz w:val="17"/>
              </w:rPr>
              <w:t>4</w:t>
            </w:r>
          </w:p>
        </w:tc>
        <w:tc>
          <w:tcPr>
            <w:tcW w:type="dxa" w:w="5184"/>
          </w:tcPr>
          <w:p>
            <w:r>
              <w:rPr>
                <w:sz w:val="17"/>
              </w:rPr>
              <w:t>One-per-household worksheet completed where the address may hold multiple households.</w:t>
            </w:r>
          </w:p>
        </w:tc>
        <w:tc>
          <w:tcPr>
            <w:tcW w:type="dxa" w:w="1296"/>
          </w:tcPr>
          <w:p>
            <w:r>
              <w:rPr>
                <w:sz w:val="17"/>
              </w:rPr>
              <w:t>CP-3</w:t>
            </w:r>
          </w:p>
        </w:tc>
        <w:tc>
          <w:tcPr>
            <w:tcW w:type="dxa" w:w="1584"/>
          </w:tcPr>
          <w:p>
            <w:r>
              <w:rPr>
                <w:sz w:val="17"/>
              </w:rPr>
              <w:t>SR-1.8</w:t>
            </w:r>
          </w:p>
        </w:tc>
      </w:tr>
      <w:tr>
        <w:tc>
          <w:tcPr>
            <w:tcW w:type="dxa" w:w="576"/>
          </w:tcPr>
          <w:p>
            <w:r>
              <w:rPr>
                <w:sz w:val="17"/>
              </w:rPr>
              <w:t>5</w:t>
            </w:r>
          </w:p>
        </w:tc>
        <w:tc>
          <w:tcPr>
            <w:tcW w:type="dxa" w:w="5184"/>
          </w:tcPr>
          <w:p>
            <w:r>
              <w:rPr>
                <w:sz w:val="17"/>
              </w:rPr>
              <w:t>Customer consent/certification captured (signed/verbal-logged/e-signed).</w:t>
            </w:r>
          </w:p>
        </w:tc>
        <w:tc>
          <w:tcPr>
            <w:tcW w:type="dxa" w:w="1296"/>
          </w:tcPr>
          <w:p>
            <w:r>
              <w:rPr>
                <w:sz w:val="17"/>
              </w:rPr>
              <w:t>CP-4</w:t>
            </w:r>
          </w:p>
        </w:tc>
        <w:tc>
          <w:tcPr>
            <w:tcW w:type="dxa" w:w="1584"/>
          </w:tcPr>
          <w:p>
            <w:r>
              <w:rPr>
                <w:sz w:val="17"/>
              </w:rPr>
              <w:t>SR-3.1</w:t>
            </w:r>
          </w:p>
        </w:tc>
      </w:tr>
      <w:tr>
        <w:tc>
          <w:tcPr>
            <w:tcW w:type="dxa" w:w="576"/>
          </w:tcPr>
          <w:p>
            <w:r>
              <w:rPr>
                <w:sz w:val="17"/>
              </w:rPr>
              <w:t>6</w:t>
            </w:r>
          </w:p>
        </w:tc>
        <w:tc>
          <w:tcPr>
            <w:tcW w:type="dxa" w:w="5184"/>
          </w:tcPr>
          <w:p>
            <w:r>
              <w:rPr>
                <w:sz w:val="17"/>
              </w:rPr>
              <w:t>Benefit-transfer consent captured where a prior benefit existed (transfer, not duplicate).</w:t>
            </w:r>
          </w:p>
        </w:tc>
        <w:tc>
          <w:tcPr>
            <w:tcW w:type="dxa" w:w="1296"/>
          </w:tcPr>
          <w:p>
            <w:r>
              <w:rPr>
                <w:sz w:val="17"/>
              </w:rPr>
              <w:t>CP-5</w:t>
            </w:r>
          </w:p>
        </w:tc>
        <w:tc>
          <w:tcPr>
            <w:tcW w:type="dxa" w:w="1584"/>
          </w:tcPr>
          <w:p>
            <w:r>
              <w:rPr>
                <w:sz w:val="17"/>
              </w:rPr>
              <w:t>SR-3.6</w:t>
            </w:r>
          </w:p>
        </w:tc>
      </w:tr>
      <w:tr>
        <w:tc>
          <w:tcPr>
            <w:tcW w:type="dxa" w:w="576"/>
          </w:tcPr>
          <w:p>
            <w:r>
              <w:rPr>
                <w:sz w:val="17"/>
              </w:rPr>
              <w:t>7</w:t>
            </w:r>
          </w:p>
        </w:tc>
        <w:tc>
          <w:tcPr>
            <w:tcW w:type="dxa" w:w="5184"/>
          </w:tcPr>
          <w:p>
            <w:r>
              <w:rPr>
                <w:sz w:val="17"/>
              </w:rPr>
              <w:t>Enhanced Tribal ONLY if a TLVT verification exists for the exact principal-residence address.</w:t>
            </w:r>
          </w:p>
        </w:tc>
        <w:tc>
          <w:tcPr>
            <w:tcW w:type="dxa" w:w="1296"/>
          </w:tcPr>
          <w:p>
            <w:r>
              <w:rPr>
                <w:sz w:val="17"/>
              </w:rPr>
              <w:t>CP-6</w:t>
            </w:r>
          </w:p>
        </w:tc>
        <w:tc>
          <w:tcPr>
            <w:tcW w:type="dxa" w:w="1584"/>
          </w:tcPr>
          <w:p>
            <w:r>
              <w:rPr>
                <w:sz w:val="17"/>
              </w:rPr>
              <w:t>SR-4.4 / SR-5.6</w:t>
            </w:r>
          </w:p>
        </w:tc>
      </w:tr>
      <w:tr>
        <w:tc>
          <w:tcPr>
            <w:tcW w:type="dxa" w:w="576"/>
          </w:tcPr>
          <w:p>
            <w:r>
              <w:rPr>
                <w:sz w:val="17"/>
              </w:rPr>
              <w:t>8</w:t>
            </w:r>
          </w:p>
        </w:tc>
        <w:tc>
          <w:tcPr>
            <w:tcW w:type="dxa" w:w="5184"/>
          </w:tcPr>
          <w:p>
            <w:r>
              <w:rPr>
                <w:sz w:val="17"/>
              </w:rPr>
              <w:t>NLAD enrollment complete; duplicate check cleared; Tribal flag matches TLVT result.</w:t>
            </w:r>
          </w:p>
        </w:tc>
        <w:tc>
          <w:tcPr>
            <w:tcW w:type="dxa" w:w="1296"/>
          </w:tcPr>
          <w:p>
            <w:r>
              <w:rPr>
                <w:sz w:val="17"/>
              </w:rPr>
              <w:t>CP-9</w:t>
            </w:r>
          </w:p>
        </w:tc>
        <w:tc>
          <w:tcPr>
            <w:tcW w:type="dxa" w:w="1584"/>
          </w:tcPr>
          <w:p>
            <w:r>
              <w:rPr>
                <w:sz w:val="17"/>
              </w:rPr>
              <w:t>SR-3.2</w:t>
            </w:r>
          </w:p>
        </w:tc>
      </w:tr>
      <w:tr>
        <w:tc>
          <w:tcPr>
            <w:tcW w:type="dxa" w:w="576"/>
          </w:tcPr>
          <w:p>
            <w:r>
              <w:rPr>
                <w:sz w:val="17"/>
              </w:rPr>
              <w:t>9</w:t>
            </w:r>
          </w:p>
        </w:tc>
        <w:tc>
          <w:tcPr>
            <w:tcW w:type="dxa" w:w="5184"/>
          </w:tcPr>
          <w:p>
            <w:r>
              <w:rPr>
                <w:sz w:val="17"/>
              </w:rPr>
              <w:t>NISC account and correct plan attached; credit amount matches benefit level.</w:t>
            </w:r>
          </w:p>
        </w:tc>
        <w:tc>
          <w:tcPr>
            <w:tcW w:type="dxa" w:w="1296"/>
          </w:tcPr>
          <w:p>
            <w:r>
              <w:rPr>
                <w:sz w:val="17"/>
              </w:rPr>
              <w:t>CP-10</w:t>
            </w:r>
          </w:p>
        </w:tc>
        <w:tc>
          <w:tcPr>
            <w:tcW w:type="dxa" w:w="1584"/>
          </w:tcPr>
          <w:p>
            <w:r>
              <w:rPr>
                <w:sz w:val="17"/>
              </w:rPr>
              <w:t>Program</w:t>
            </w:r>
          </w:p>
        </w:tc>
      </w:tr>
      <w:tr>
        <w:tc>
          <w:tcPr>
            <w:tcW w:type="dxa" w:w="576"/>
          </w:tcPr>
          <w:p>
            <w:r>
              <w:rPr>
                <w:sz w:val="17"/>
              </w:rPr>
              <w:t>10</w:t>
            </w:r>
          </w:p>
        </w:tc>
        <w:tc>
          <w:tcPr>
            <w:tcW w:type="dxa" w:w="5184"/>
          </w:tcPr>
          <w:p>
            <w:r>
              <w:rPr>
                <w:sz w:val="17"/>
              </w:rPr>
              <w:t>Service active / order complete; meets minimum service standards.</w:t>
            </w:r>
          </w:p>
        </w:tc>
        <w:tc>
          <w:tcPr>
            <w:tcW w:type="dxa" w:w="1296"/>
          </w:tcPr>
          <w:p>
            <w:r>
              <w:rPr>
                <w:sz w:val="17"/>
              </w:rPr>
              <w:t>CP-11</w:t>
            </w:r>
          </w:p>
        </w:tc>
        <w:tc>
          <w:tcPr>
            <w:tcW w:type="dxa" w:w="1584"/>
          </w:tcPr>
          <w:p>
            <w:r>
              <w:rPr>
                <w:sz w:val="17"/>
              </w:rPr>
              <w:t>SR-2.1/2.2</w:t>
            </w:r>
          </w:p>
        </w:tc>
      </w:tr>
      <w:tr>
        <w:tc>
          <w:tcPr>
            <w:tcW w:type="dxa" w:w="576"/>
          </w:tcPr>
          <w:p>
            <w:r>
              <w:rPr>
                <w:sz w:val="17"/>
              </w:rPr>
              <w:t>11</w:t>
            </w:r>
          </w:p>
        </w:tc>
        <w:tc>
          <w:tcPr>
            <w:tcW w:type="dxa" w:w="5184"/>
          </w:tcPr>
          <w:p>
            <w:r>
              <w:rPr>
                <w:sz w:val="17"/>
              </w:rPr>
              <w:t>Billing effective date set prospectively — not back-dated before NLAD enrollment.</w:t>
            </w:r>
          </w:p>
        </w:tc>
        <w:tc>
          <w:tcPr>
            <w:tcW w:type="dxa" w:w="1296"/>
          </w:tcPr>
          <w:p>
            <w:r>
              <w:rPr>
                <w:sz w:val="17"/>
              </w:rPr>
              <w:t>CP-12</w:t>
            </w:r>
          </w:p>
        </w:tc>
        <w:tc>
          <w:tcPr>
            <w:tcW w:type="dxa" w:w="1584"/>
          </w:tcPr>
          <w:p>
            <w:r>
              <w:rPr>
                <w:sz w:val="17"/>
              </w:rPr>
              <w:t>Section D</w:t>
            </w:r>
          </w:p>
        </w:tc>
      </w:tr>
      <w:tr>
        <w:tc>
          <w:tcPr>
            <w:tcW w:type="dxa" w:w="576"/>
          </w:tcPr>
          <w:p>
            <w:r>
              <w:rPr>
                <w:sz w:val="17"/>
              </w:rPr>
              <w:t>12</w:t>
            </w:r>
          </w:p>
        </w:tc>
        <w:tc>
          <w:tcPr>
            <w:tcW w:type="dxa" w:w="5184"/>
          </w:tcPr>
          <w:p>
            <w:r>
              <w:rPr>
                <w:sz w:val="17"/>
              </w:rPr>
              <w:t>Written confirmation notice sent to the customer.</w:t>
            </w:r>
          </w:p>
        </w:tc>
        <w:tc>
          <w:tcPr>
            <w:tcW w:type="dxa" w:w="1296"/>
          </w:tcPr>
          <w:p>
            <w:r>
              <w:rPr>
                <w:sz w:val="17"/>
              </w:rPr>
              <w:t>CP-13</w:t>
            </w:r>
          </w:p>
        </w:tc>
        <w:tc>
          <w:tcPr>
            <w:tcW w:type="dxa" w:w="1584"/>
          </w:tcPr>
          <w:p>
            <w:r>
              <w:rPr>
                <w:sz w:val="17"/>
              </w:rPr>
              <w:t>SR-6.12</w:t>
            </w:r>
          </w:p>
        </w:tc>
      </w:tr>
      <w:tr>
        <w:tc>
          <w:tcPr>
            <w:tcW w:type="dxa" w:w="576"/>
          </w:tcPr>
          <w:p>
            <w:r>
              <w:rPr>
                <w:sz w:val="17"/>
              </w:rPr>
              <w:t>13</w:t>
            </w:r>
          </w:p>
        </w:tc>
        <w:tc>
          <w:tcPr>
            <w:tcW w:type="dxa" w:w="5184"/>
          </w:tcPr>
          <w:p>
            <w:r>
              <w:rPr>
                <w:sz w:val="17"/>
              </w:rPr>
              <w:t>Funding streams correctly separated (USAC vs. Tribe vs. RIVR vs. grant).</w:t>
            </w:r>
          </w:p>
        </w:tc>
        <w:tc>
          <w:tcPr>
            <w:tcW w:type="dxa" w:w="1296"/>
          </w:tcPr>
          <w:p>
            <w:r>
              <w:rPr>
                <w:sz w:val="17"/>
              </w:rPr>
              <w:t>CP-10</w:t>
            </w:r>
          </w:p>
        </w:tc>
        <w:tc>
          <w:tcPr>
            <w:tcW w:type="dxa" w:w="1584"/>
          </w:tcPr>
          <w:p>
            <w:r>
              <w:rPr>
                <w:sz w:val="17"/>
              </w:rPr>
              <w:t>SR-10.2</w:t>
            </w:r>
          </w:p>
        </w:tc>
      </w:tr>
      <w:tr>
        <w:tc>
          <w:tcPr>
            <w:tcW w:type="dxa" w:w="576"/>
          </w:tcPr>
          <w:p>
            <w:r>
              <w:rPr>
                <w:sz w:val="17"/>
              </w:rPr>
              <w:t>14</w:t>
            </w:r>
          </w:p>
        </w:tc>
        <w:tc>
          <w:tcPr>
            <w:tcW w:type="dxa" w:w="5184"/>
          </w:tcPr>
          <w:p>
            <w:r>
              <w:rPr>
                <w:sz w:val="17"/>
              </w:rPr>
              <w:t>All eligibility/consent/verification records filed to secure retention (§54.417).</w:t>
            </w:r>
          </w:p>
        </w:tc>
        <w:tc>
          <w:tcPr>
            <w:tcW w:type="dxa" w:w="1296"/>
          </w:tcPr>
          <w:p>
            <w:r>
              <w:rPr>
                <w:sz w:val="17"/>
              </w:rPr>
              <w:t>CP-15</w:t>
            </w:r>
          </w:p>
        </w:tc>
        <w:tc>
          <w:tcPr>
            <w:tcW w:type="dxa" w:w="1584"/>
          </w:tcPr>
          <w:p>
            <w:r>
              <w:rPr>
                <w:sz w:val="17"/>
              </w:rPr>
              <w:t>SR-6.11</w:t>
            </w:r>
          </w:p>
        </w:tc>
      </w:tr>
      <w:tr>
        <w:tc>
          <w:tcPr>
            <w:tcW w:type="dxa" w:w="576"/>
          </w:tcPr>
          <w:p>
            <w:r>
              <w:rPr>
                <w:sz w:val="17"/>
              </w:rPr>
              <w:t>15</w:t>
            </w:r>
          </w:p>
        </w:tc>
        <w:tc>
          <w:tcPr>
            <w:tcW w:type="dxa" w:w="5184"/>
          </w:tcPr>
          <w:p>
            <w:r>
              <w:rPr>
                <w:sz w:val="17"/>
              </w:rPr>
              <w:t>For declinations (no NV / not eligible): confirm NO NLAD enrollment occurred.</w:t>
            </w:r>
          </w:p>
        </w:tc>
        <w:tc>
          <w:tcPr>
            <w:tcW w:type="dxa" w:w="1296"/>
          </w:tcPr>
          <w:p>
            <w:r>
              <w:rPr>
                <w:sz w:val="17"/>
              </w:rPr>
              <w:t>CP-14</w:t>
            </w:r>
          </w:p>
        </w:tc>
        <w:tc>
          <w:tcPr>
            <w:tcW w:type="dxa" w:w="1584"/>
          </w:tcPr>
          <w:p>
            <w:r>
              <w:rPr>
                <w:sz w:val="17"/>
              </w:rPr>
              <w:t>SR-3.1</w:t>
            </w:r>
          </w:p>
        </w:tc>
      </w:tr>
    </w:tbl>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QC is a hard gate. An enrollment that fails any check must not be included in the monthly LCS claim until the finding is remediated and re-reviewed (SR-6.8).</w:t>
            </w:r>
          </w:p>
        </w:tc>
      </w:tr>
    </w:tbl>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