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95959"/>
          <w:sz w:val="22"/>
        </w:rPr>
        <w:t>LREMC Technologies, LLC d/b/a RIVR Tech</w:t>
      </w:r>
    </w:p>
    <w:p>
      <w:r>
        <w:rPr>
          <w:b/>
          <w:color w:val="1F3864"/>
          <w:sz w:val="48"/>
        </w:rPr>
        <w:t>NISC Configuration &amp; Billing Specification</w:t>
      </w:r>
    </w:p>
    <w:p>
      <w:r>
        <w:rPr>
          <w:color w:val="2E5496"/>
          <w:sz w:val="26"/>
        </w:rPr>
        <w:t>iVUE (NISC) rate codes, credit codes, tax, GL mapping, reconciliation &amp; controls for the Lifeline / Lumbee Broadband Affordability Initiative</w:t>
      </w:r>
    </w:p>
    <w:p/>
    <w:tbl>
      <w:tblPr>
        <w:tblStyle w:val="LightList-Accent1"/>
        <w:tblW w:type="auto" w:w="0"/>
        <w:tblLook w:firstColumn="1" w:firstRow="1" w:lastColumn="0" w:lastRow="0" w:noHBand="0" w:noVBand="1" w:val="04A0"/>
      </w:tblPr>
      <w:tblGrid>
        <w:gridCol w:w="4320"/>
        <w:gridCol w:w="4320"/>
      </w:tblGrid>
      <w:tr>
        <w:tc>
          <w:tcPr>
            <w:tcW w:type="dxa" w:w="4320"/>
          </w:tcPr>
          <w:p>
            <w:r>
              <w:rPr>
                <w:b/>
              </w:rPr>
              <w:t>Deliverable</w:t>
            </w:r>
          </w:p>
        </w:tc>
        <w:tc>
          <w:tcPr>
            <w:tcW w:type="dxa" w:w="4320"/>
          </w:tcPr>
          <w:p>
            <w:r>
              <w:t>05 — NISC Configuration &amp; Billing Specification</w:t>
            </w:r>
          </w:p>
        </w:tc>
      </w:tr>
      <w:tr>
        <w:tc>
          <w:tcPr>
            <w:tcW w:type="dxa" w:w="4320"/>
          </w:tcPr>
          <w:p>
            <w:r>
              <w:rPr>
                <w:b/>
              </w:rPr>
              <w:t>Document owner</w:t>
            </w:r>
          </w:p>
        </w:tc>
        <w:tc>
          <w:tcPr>
            <w:tcW w:type="dxa" w:w="4320"/>
          </w:tcPr>
          <w:p>
            <w:r>
              <w:t>Billing Manager + Finance + IT</w:t>
            </w:r>
          </w:p>
        </w:tc>
      </w:tr>
      <w:tr>
        <w:tc>
          <w:tcPr>
            <w:tcW w:type="dxa" w:w="4320"/>
          </w:tcPr>
          <w:p>
            <w:r>
              <w:rPr>
                <w:b/>
              </w:rPr>
              <w:t>Approval / sign-off</w:t>
            </w:r>
          </w:p>
        </w:tc>
        <w:tc>
          <w:tcPr>
            <w:tcW w:type="dxa" w:w="4320"/>
          </w:tcPr>
          <w:p>
            <w:r>
              <w:t>________________  Billing Manager    ________________  Finance    ________________  IT / Security    (name / title / date)</w:t>
            </w:r>
          </w:p>
        </w:tc>
      </w:tr>
      <w:tr>
        <w:tc>
          <w:tcPr>
            <w:tcW w:type="dxa" w:w="4320"/>
          </w:tcPr>
          <w:p>
            <w:r>
              <w:rPr>
                <w:b/>
              </w:rPr>
              <w:t>Version</w:t>
            </w:r>
          </w:p>
        </w:tc>
        <w:tc>
          <w:tcPr>
            <w:tcW w:type="dxa" w:w="4320"/>
          </w:tcPr>
          <w:p>
            <w:r>
              <w:t>v0.1 — DRAFT (build phase)</w:t>
            </w:r>
          </w:p>
        </w:tc>
      </w:tr>
      <w:tr>
        <w:tc>
          <w:tcPr>
            <w:tcW w:type="dxa" w:w="4320"/>
          </w:tcPr>
          <w:p>
            <w:r>
              <w:rPr>
                <w:b/>
              </w:rPr>
              <w:t>Status</w:t>
            </w:r>
          </w:p>
        </w:tc>
        <w:tc>
          <w:tcPr>
            <w:tcW w:type="dxa" w:w="4320"/>
          </w:tcPr>
          <w:p>
            <w:r>
              <w:t>PRE-DECISION build artifact. Figures are illustrative/placeholder pending confirmation.</w:t>
            </w:r>
          </w:p>
        </w:tc>
      </w:tr>
      <w:tr>
        <w:tc>
          <w:tcPr>
            <w:tcW w:type="dxa" w:w="4320"/>
          </w:tcPr>
          <w:p>
            <w:r>
              <w:rPr>
                <w:b/>
              </w:rPr>
              <w:t>Source basis</w:t>
            </w:r>
          </w:p>
        </w:tc>
        <w:tc>
          <w:tcPr>
            <w:tcW w:type="dxa" w:w="4320"/>
          </w:tcPr>
          <w:p>
            <w:r>
              <w:t>See 00_Regulatory_Source_Register.md (item refs 'SR-x.y').</w:t>
            </w:r>
          </w:p>
        </w:tc>
      </w:tr>
    </w:tbl>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NISC field, screen, and code names in this document are ILLUSTRATIVE and marked "[CONFIRM in NISC]". They must be reconciled against the live iVUE configuration by RIVR's NISC administrator before any code is created. Do not treat any NISC internal name here as authoritative. All RIVR retail prices are placeholders — replace "[retail — from RIVR price sheet]" with confirmed figures per SR-8.6.</w:t>
            </w:r>
          </w:p>
        </w:tc>
      </w:tr>
    </w:tbl>
    <w:p>
      <w:r>
        <w:br w:type="page"/>
      </w:r>
    </w:p>
    <w:p>
      <w:pPr>
        <w:pStyle w:val="Heading1"/>
      </w:pPr>
      <w:r>
        <w:t>Table of Contents</w:t>
      </w:r>
    </w:p>
    <w:p>
      <w:r/>
      <w:fldSimple w:instr="TOC \o &quot;1-3&quot; \h \z \u">
        <w:r>
          <w:t>Right-click and 'Update Field' to build the table of contents.</w:t>
        </w:r>
      </w:fldSimple>
    </w:p>
    <w:p>
      <w:r>
        <w:br w:type="page"/>
      </w:r>
    </w:p>
    <w:p>
      <w:pPr>
        <w:pStyle w:val="Heading1"/>
      </w:pPr>
      <w:r>
        <w:t>1. Purpose &amp; Scope</w:t>
      </w:r>
    </w:p>
    <w:p>
      <w:r>
        <w:rPr>
          <w:b w:val="0"/>
          <w:i w:val="0"/>
          <w:sz w:val="21"/>
        </w:rPr>
        <w:t>This specification defines how the federal Lifeline benefit, the (conditional) enhanced Tribal benefit, and RIVR- and Tribe-funded affordability discounts are represented, taxed, posted, billed, and reconciled inside RIVR Tech's NISC iVUE billing / OSS platform. It is the single source of truth for the Billing Manager, Finance, and IT when configuring rate codes, credit codes, tax rules, general-ledger (GL) mappings, customer-facing bill text, effective-date logic, and the monthly close and three-way reconciliation.</w:t>
      </w:r>
    </w:p>
    <w:p>
      <w:r>
        <w:rPr>
          <w:b w:val="0"/>
          <w:i w:val="0"/>
          <w:sz w:val="21"/>
        </w:rPr>
        <w:t>Scope: NISC billing configuration only. Eligibility determination (National Verifier), enrollment (NLAD), and reimbursement claiming (LCS) are governed by their own deliverables; this document specifies how NISC must mirror and reconcile against those systems. It does NOT replace tax, legal, or regulatory advice — every item flagged "[CONFIRM]" requires named sign-off before go-live (see Deliverable 13, Open Issues &amp; Legal Decisions Log).</w:t>
      </w:r>
    </w:p>
    <w:p>
      <w:pPr>
        <w:pStyle w:val="Heading3"/>
      </w:pPr>
      <w:r>
        <w:t>Governing constraints carried from the Source Register</w:t>
      </w:r>
    </w:p>
    <w:p>
      <w:pPr>
        <w:pStyle w:val="ListBullet"/>
      </w:pPr>
      <w:r>
        <w:t>Enhanced Tribal benefit is ADDRESS-based, not membership-based. As of research, the Lumbee have no reservation, no land in trust, and no FCC §54.412 designation, so the working assumption is ZERO enhanced-Tribal subscribers until a specific address is verified (SR-4, SR-5.5, SR-5.6).</w:t>
      </w:r>
    </w:p>
    <w:p>
      <w:pPr>
        <w:pStyle w:val="ListBullet"/>
      </w:pPr>
      <w:r>
        <w:t>National Verifier approval must precede NLAD enrollment; NLAD enrollment (with its effective date) governs when the Lifeline credit may be applied in NISC (SR-3.1, SR-3.2).</w:t>
      </w:r>
    </w:p>
    <w:p>
      <w:pPr>
        <w:pStyle w:val="ListBullet"/>
      </w:pPr>
      <w:r>
        <w:t>The full Lifeline support amount must be passed through to the customer's bill — the carrier may not retain any part of the subsidy (SR-1.1, SR-1.3, SR-6.8).</w:t>
      </w:r>
    </w:p>
    <w:p>
      <w:pPr>
        <w:pStyle w:val="ListBullet"/>
      </w:pPr>
      <w:r>
        <w:t>Four funding streams stay in SEPARATE GL categories — federal Lifeline (USAC), TBCP/grants, RIVR-funded discounts, Lumbee Tribe contributions. No commingling (SR-10.2).</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PRIVACY / DATA HANDLING: NEVER store full Social Security Numbers, eligibility source documents (benefit letters, income proofs), or tribal-roll / enrollment data in unsecured NISC free-text notes, ticket bodies, or general CRM fields. Eligibility is proven in the National Verifier — NISC holds only the minimum: the NV/NLAD application ID, benefit type, enrollment effective date, and the enhanced-Tribal verification flag. Full SSNs must be masked; supporting documents live only in an access-controlled, audit-logged store (see §11). ALL Lifeline support must be passed through 100% to the customer bill — no carrier retention (SR-6.8, SR-1.1).</w:t>
            </w:r>
          </w:p>
        </w:tc>
      </w:tr>
    </w:tbl>
    <w:p>
      <w:pPr>
        <w:pStyle w:val="Heading1"/>
      </w:pPr>
      <w:r>
        <w:t>2. Rate &amp; Credit Code Schedule</w:t>
      </w:r>
    </w:p>
    <w:p>
      <w:r>
        <w:rPr>
          <w:b w:val="0"/>
          <w:i w:val="0"/>
          <w:sz w:val="21"/>
        </w:rPr>
        <w:t>The table below is the master schedule of rate and credit codes to be created in NISC. Code IDs and GL account numbers are ILLUSTRATIVE placeholders [CONFIRM in NISC] — RIVR's NISC administrator assigns the actual values. Amounts marked "[retail — from RIVR price sheet]" are placeholders pending the confirmed RIVR price sheet (SR-8.6). Federal amounts ($9.25 / $25.00 / $34.25) are fixed by rule and must be entered exactly (SR-1.1, SR-1.3).</w:t>
      </w:r>
    </w:p>
    <w:p>
      <w:r>
        <w:rPr>
          <w:b w:val="0"/>
          <w:i/>
          <w:color w:val="595959"/>
          <w:sz w:val="18"/>
        </w:rPr>
        <w:t>Legend: (+) = charge to customer; (−) = credit to customer. "Type" distinguishes a recurring plan charge from a subsidy credit, a funded discount, or a one-time / usage charge.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368"/>
            <w:shd w:val="clear" w:fill="2E5496"/>
          </w:tcPr>
          <w:p>
            <w:r>
              <w:rPr>
                <w:b/>
                <w:color w:val="FFFFFF"/>
                <w:sz w:val="18"/>
              </w:rPr>
              <w:t>Code (illustrative)</w:t>
              <w:br/>
              <w:t>[CONFIRM in NISC]</w:t>
            </w:r>
          </w:p>
        </w:tc>
        <w:tc>
          <w:tcPr>
            <w:tcW w:type="dxa" w:w="1944"/>
            <w:shd w:val="clear" w:fill="2E5496"/>
          </w:tcPr>
          <w:p>
            <w:r>
              <w:rPr>
                <w:b/>
                <w:color w:val="FFFFFF"/>
                <w:sz w:val="18"/>
              </w:rPr>
              <w:t>Description</w:t>
            </w:r>
          </w:p>
        </w:tc>
        <w:tc>
          <w:tcPr>
            <w:tcW w:type="dxa" w:w="1296"/>
            <w:shd w:val="clear" w:fill="2E5496"/>
          </w:tcPr>
          <w:p>
            <w:r>
              <w:rPr>
                <w:b/>
                <w:color w:val="FFFFFF"/>
                <w:sz w:val="18"/>
              </w:rPr>
              <w:t>Type</w:t>
            </w:r>
          </w:p>
        </w:tc>
        <w:tc>
          <w:tcPr>
            <w:tcW w:type="dxa" w:w="1944"/>
            <w:shd w:val="clear" w:fill="2E5496"/>
          </w:tcPr>
          <w:p>
            <w:r>
              <w:rPr>
                <w:b/>
                <w:color w:val="FFFFFF"/>
                <w:sz w:val="18"/>
              </w:rPr>
              <w:t>Amount</w:t>
            </w:r>
          </w:p>
        </w:tc>
        <w:tc>
          <w:tcPr>
            <w:tcW w:type="dxa" w:w="1800"/>
            <w:shd w:val="clear" w:fill="2E5496"/>
          </w:tcPr>
          <w:p>
            <w:r>
              <w:rPr>
                <w:b/>
                <w:color w:val="FFFFFF"/>
                <w:sz w:val="18"/>
              </w:rPr>
              <w:t>GL account (illustrative)</w:t>
            </w:r>
          </w:p>
        </w:tc>
        <w:tc>
          <w:tcPr>
            <w:tcW w:type="dxa" w:w="1944"/>
            <w:shd w:val="clear" w:fill="2E5496"/>
          </w:tcPr>
          <w:p>
            <w:r>
              <w:rPr>
                <w:b/>
                <w:color w:val="FFFFFF"/>
                <w:sz w:val="18"/>
              </w:rPr>
              <w:t>Bill display text</w:t>
            </w:r>
          </w:p>
        </w:tc>
        <w:tc>
          <w:tcPr>
            <w:tcW w:type="dxa" w:w="3024"/>
            <w:shd w:val="clear" w:fill="2E5496"/>
          </w:tcPr>
          <w:p>
            <w:r>
              <w:rPr>
                <w:b/>
                <w:color w:val="FFFFFF"/>
                <w:sz w:val="18"/>
              </w:rPr>
              <w:t>Notes</w:t>
            </w:r>
          </w:p>
        </w:tc>
      </w:tr>
      <w:tr>
        <w:tc>
          <w:tcPr>
            <w:tcW w:type="dxa" w:w="1368"/>
          </w:tcPr>
          <w:p>
            <w:r>
              <w:rPr>
                <w:sz w:val="17"/>
              </w:rPr>
              <w:t>RC-SEN100</w:t>
            </w:r>
          </w:p>
        </w:tc>
        <w:tc>
          <w:tcPr>
            <w:tcW w:type="dxa" w:w="1944"/>
          </w:tcPr>
          <w:p>
            <w:r>
              <w:rPr>
                <w:sz w:val="17"/>
              </w:rPr>
              <w:t>Senior 100/100 broadband plan — new affordable tier</w:t>
            </w:r>
          </w:p>
        </w:tc>
        <w:tc>
          <w:tcPr>
            <w:tcW w:type="dxa" w:w="1296"/>
          </w:tcPr>
          <w:p>
            <w:r>
              <w:rPr>
                <w:sz w:val="17"/>
              </w:rPr>
              <w:t>Recurring plan charge (+)</w:t>
            </w:r>
          </w:p>
        </w:tc>
        <w:tc>
          <w:tcPr>
            <w:tcW w:type="dxa" w:w="1944"/>
          </w:tcPr>
          <w:p>
            <w:r>
              <w:rPr>
                <w:sz w:val="17"/>
              </w:rPr>
              <w:t>[retail — from RIVR price sheet] (program design refs a ~$10 customer charge, SR-3.4)</w:t>
            </w:r>
          </w:p>
        </w:tc>
        <w:tc>
          <w:tcPr>
            <w:tcW w:type="dxa" w:w="1800"/>
          </w:tcPr>
          <w:p>
            <w:r>
              <w:rPr>
                <w:sz w:val="17"/>
              </w:rPr>
              <w:t>4000-BB-SEN (revenue — broadband)</w:t>
            </w:r>
          </w:p>
        </w:tc>
        <w:tc>
          <w:tcPr>
            <w:tcW w:type="dxa" w:w="1944"/>
          </w:tcPr>
          <w:p>
            <w:r>
              <w:rPr>
                <w:sz w:val="17"/>
              </w:rPr>
              <w:t>Senior 100/100 Internet</w:t>
            </w:r>
          </w:p>
        </w:tc>
        <w:tc>
          <w:tcPr>
            <w:tcW w:type="dxa" w:w="3024"/>
          </w:tcPr>
          <w:p>
            <w:r>
              <w:rPr>
                <w:sz w:val="17"/>
              </w:rPr>
              <w:t>New tier below 250/250 entry (SR-8.3). Speed 100/100 exceeds 25/3 minimum (SR-2.1). Unlimited data meets 1,280 GB min (SR-2.2).</w:t>
            </w:r>
          </w:p>
        </w:tc>
      </w:tr>
      <w:tr>
        <w:tc>
          <w:tcPr>
            <w:tcW w:type="dxa" w:w="1368"/>
          </w:tcPr>
          <w:p>
            <w:r>
              <w:rPr>
                <w:sz w:val="17"/>
              </w:rPr>
              <w:t>CR-LL-STD</w:t>
            </w:r>
          </w:p>
        </w:tc>
        <w:tc>
          <w:tcPr>
            <w:tcW w:type="dxa" w:w="1944"/>
          </w:tcPr>
          <w:p>
            <w:r>
              <w:rPr>
                <w:sz w:val="17"/>
              </w:rPr>
              <w:t>Federal Lifeline credit — standard</w:t>
            </w:r>
          </w:p>
        </w:tc>
        <w:tc>
          <w:tcPr>
            <w:tcW w:type="dxa" w:w="1296"/>
          </w:tcPr>
          <w:p>
            <w:r>
              <w:rPr>
                <w:sz w:val="17"/>
              </w:rPr>
              <w:t>Subsidy credit (−)</w:t>
            </w:r>
          </w:p>
        </w:tc>
        <w:tc>
          <w:tcPr>
            <w:tcW w:type="dxa" w:w="1944"/>
          </w:tcPr>
          <w:p>
            <w:r>
              <w:rPr>
                <w:sz w:val="17"/>
              </w:rPr>
              <w:t>−$9.25 (fixed, SR-1.1)</w:t>
            </w:r>
          </w:p>
        </w:tc>
        <w:tc>
          <w:tcPr>
            <w:tcW w:type="dxa" w:w="1800"/>
          </w:tcPr>
          <w:p>
            <w:r>
              <w:rPr>
                <w:sz w:val="17"/>
              </w:rPr>
              <w:t>2100-LL-USAC (contra-revenue / USAC pass-through)</w:t>
            </w:r>
          </w:p>
        </w:tc>
        <w:tc>
          <w:tcPr>
            <w:tcW w:type="dxa" w:w="1944"/>
          </w:tcPr>
          <w:p>
            <w:r>
              <w:rPr>
                <w:sz w:val="17"/>
              </w:rPr>
              <w:t>Federal Lifeline Credit  -$9.25</w:t>
            </w:r>
          </w:p>
        </w:tc>
        <w:tc>
          <w:tcPr>
            <w:tcW w:type="dxa" w:w="3024"/>
          </w:tcPr>
          <w:p>
            <w:r>
              <w:rPr>
                <w:sz w:val="17"/>
              </w:rPr>
              <w:t>One per household (SR-1.8). Apply ONLY after NV approval + NLAD enrollment (SR-3.1/3.2). Full pass-through — never partial (SR-6.8).</w:t>
            </w:r>
          </w:p>
        </w:tc>
      </w:tr>
      <w:tr>
        <w:tc>
          <w:tcPr>
            <w:tcW w:type="dxa" w:w="1368"/>
          </w:tcPr>
          <w:p>
            <w:r>
              <w:rPr>
                <w:sz w:val="17"/>
              </w:rPr>
              <w:t>CR-LL-TRB</w:t>
            </w:r>
          </w:p>
        </w:tc>
        <w:tc>
          <w:tcPr>
            <w:tcW w:type="dxa" w:w="1944"/>
          </w:tcPr>
          <w:p>
            <w:r>
              <w:rPr>
                <w:sz w:val="17"/>
              </w:rPr>
              <w:t>Enhanced Tribal Lifeline credit — additional</w:t>
            </w:r>
          </w:p>
        </w:tc>
        <w:tc>
          <w:tcPr>
            <w:tcW w:type="dxa" w:w="1296"/>
          </w:tcPr>
          <w:p>
            <w:r>
              <w:rPr>
                <w:sz w:val="17"/>
              </w:rPr>
              <w:t>Subsidy credit (−)</w:t>
            </w:r>
          </w:p>
        </w:tc>
        <w:tc>
          <w:tcPr>
            <w:tcW w:type="dxa" w:w="1944"/>
          </w:tcPr>
          <w:p>
            <w:r>
              <w:rPr>
                <w:sz w:val="17"/>
              </w:rPr>
              <w:t>−$25.00 additional → −$34.25 total with CR-LL-STD (SR-1.3)</w:t>
            </w:r>
          </w:p>
        </w:tc>
        <w:tc>
          <w:tcPr>
            <w:tcW w:type="dxa" w:w="1800"/>
          </w:tcPr>
          <w:p>
            <w:r>
              <w:rPr>
                <w:sz w:val="17"/>
              </w:rPr>
              <w:t>2101-LL-TRIBAL (contra-revenue / USAC Tribal pass-through)</w:t>
            </w:r>
          </w:p>
        </w:tc>
        <w:tc>
          <w:tcPr>
            <w:tcW w:type="dxa" w:w="1944"/>
          </w:tcPr>
          <w:p>
            <w:r>
              <w:rPr>
                <w:sz w:val="17"/>
              </w:rPr>
              <w:t>Enhanced Tribal Lifeline Credit  -$25.00</w:t>
            </w:r>
          </w:p>
        </w:tc>
        <w:tc>
          <w:tcPr>
            <w:tcW w:type="dxa" w:w="3024"/>
          </w:tcPr>
          <w:p>
            <w:r>
              <w:rPr>
                <w:sz w:val="17"/>
              </w:rPr>
              <w:t>ONLY for USAC Tribal-Lands-Verification-Tool–verified addresses; NLAD "Lifeline Tribal Benefit?" = Yes (SR-4.2/4.4). Working assumption: 0 subscribers until an address verifies (SR-5.5/5.6). Requires full pass-through certification (SR-1.3).</w:t>
            </w:r>
          </w:p>
        </w:tc>
      </w:tr>
      <w:tr>
        <w:tc>
          <w:tcPr>
            <w:tcW w:type="dxa" w:w="1368"/>
          </w:tcPr>
          <w:p>
            <w:r>
              <w:rPr>
                <w:sz w:val="17"/>
              </w:rPr>
              <w:t>RC-SEN-STD?</w:t>
            </w:r>
          </w:p>
        </w:tc>
        <w:tc>
          <w:tcPr>
            <w:tcW w:type="dxa" w:w="1944"/>
          </w:tcPr>
          <w:p>
            <w:r>
              <w:rPr>
                <w:sz w:val="17"/>
              </w:rPr>
              <w:t>(reference) Standard Senior code alias</w:t>
            </w:r>
          </w:p>
        </w:tc>
        <w:tc>
          <w:tcPr>
            <w:tcW w:type="dxa" w:w="1296"/>
          </w:tcPr>
          <w:p>
            <w:r>
              <w:rPr>
                <w:sz w:val="17"/>
              </w:rPr>
              <w:t>Recurring plan charge (+)</w:t>
            </w:r>
          </w:p>
        </w:tc>
        <w:tc>
          <w:tcPr>
            <w:tcW w:type="dxa" w:w="1944"/>
          </w:tcPr>
          <w:p>
            <w:r>
              <w:rPr>
                <w:sz w:val="17"/>
              </w:rPr>
              <w:t>[retail — from RIVR price sheet]</w:t>
            </w:r>
          </w:p>
        </w:tc>
        <w:tc>
          <w:tcPr>
            <w:tcW w:type="dxa" w:w="1800"/>
          </w:tcPr>
          <w:p>
            <w:r>
              <w:rPr>
                <w:sz w:val="17"/>
              </w:rPr>
              <w:t>4000-BB-SEN (revenue — broadband)</w:t>
            </w:r>
          </w:p>
        </w:tc>
        <w:tc>
          <w:tcPr>
            <w:tcW w:type="dxa" w:w="1944"/>
          </w:tcPr>
          <w:p>
            <w:r>
              <w:rPr>
                <w:sz w:val="17"/>
              </w:rPr>
              <w:t>Senior 100/100 Internet</w:t>
            </w:r>
          </w:p>
        </w:tc>
        <w:tc>
          <w:tcPr>
            <w:tcW w:type="dxa" w:w="3024"/>
          </w:tcPr>
          <w:p>
            <w:r>
              <w:rPr>
                <w:sz w:val="17"/>
              </w:rPr>
              <w:t>Use a single Senior plan code (RC-SEN100). Listed only to avoid duplicate codes for the same tier.</w:t>
            </w:r>
          </w:p>
        </w:tc>
      </w:tr>
      <w:tr>
        <w:tc>
          <w:tcPr>
            <w:tcW w:type="dxa" w:w="1368"/>
          </w:tcPr>
          <w:p>
            <w:r>
              <w:rPr>
                <w:sz w:val="17"/>
              </w:rPr>
              <w:t>DC-TRIBE</w:t>
            </w:r>
          </w:p>
        </w:tc>
        <w:tc>
          <w:tcPr>
            <w:tcW w:type="dxa" w:w="1944"/>
          </w:tcPr>
          <w:p>
            <w:r>
              <w:rPr>
                <w:sz w:val="17"/>
              </w:rPr>
              <w:t>Tribe-funded affordability discount</w:t>
            </w:r>
          </w:p>
        </w:tc>
        <w:tc>
          <w:tcPr>
            <w:tcW w:type="dxa" w:w="1296"/>
          </w:tcPr>
          <w:p>
            <w:r>
              <w:rPr>
                <w:sz w:val="17"/>
              </w:rPr>
              <w:t>Funded discount (−)</w:t>
            </w:r>
          </w:p>
        </w:tc>
        <w:tc>
          <w:tcPr>
            <w:tcW w:type="dxa" w:w="1944"/>
          </w:tcPr>
          <w:p>
            <w:r>
              <w:rPr>
                <w:sz w:val="17"/>
              </w:rPr>
              <w:t>[amount per Tribe agreement — CONFIRM]</w:t>
            </w:r>
          </w:p>
        </w:tc>
        <w:tc>
          <w:tcPr>
            <w:tcW w:type="dxa" w:w="1800"/>
          </w:tcPr>
          <w:p>
            <w:r>
              <w:rPr>
                <w:sz w:val="17"/>
              </w:rPr>
              <w:t>2200-DISC-TRIBE (Lumbee Tribe contribution — SEPARATE)</w:t>
            </w:r>
          </w:p>
        </w:tc>
        <w:tc>
          <w:tcPr>
            <w:tcW w:type="dxa" w:w="1944"/>
          </w:tcPr>
          <w:p>
            <w:r>
              <w:rPr>
                <w:sz w:val="17"/>
              </w:rPr>
              <w:t>Lumbee Tribe Broadband Credit  -$[x]</w:t>
            </w:r>
          </w:p>
        </w:tc>
        <w:tc>
          <w:tcPr>
            <w:tcW w:type="dxa" w:w="3024"/>
          </w:tcPr>
          <w:p>
            <w:r>
              <w:rPr>
                <w:sz w:val="17"/>
              </w:rPr>
              <w:t>Funded by Lumbee Tribe contributions (SR-10.2 stream 4). SEPARATE GL from USAC and RIVR. Not a federal subsidy; not claimed to USAC. Governed by the Tribe funding agreement.</w:t>
            </w:r>
          </w:p>
        </w:tc>
      </w:tr>
      <w:tr>
        <w:tc>
          <w:tcPr>
            <w:tcW w:type="dxa" w:w="1368"/>
          </w:tcPr>
          <w:p>
            <w:r>
              <w:rPr>
                <w:sz w:val="17"/>
              </w:rPr>
              <w:t>DC-RIVR</w:t>
            </w:r>
          </w:p>
        </w:tc>
        <w:tc>
          <w:tcPr>
            <w:tcW w:type="dxa" w:w="1944"/>
          </w:tcPr>
          <w:p>
            <w:r>
              <w:rPr>
                <w:sz w:val="17"/>
              </w:rPr>
              <w:t>RIVR-funded affordability discount</w:t>
            </w:r>
          </w:p>
        </w:tc>
        <w:tc>
          <w:tcPr>
            <w:tcW w:type="dxa" w:w="1296"/>
          </w:tcPr>
          <w:p>
            <w:r>
              <w:rPr>
                <w:sz w:val="17"/>
              </w:rPr>
              <w:t>Funded discount (−)</w:t>
            </w:r>
          </w:p>
        </w:tc>
        <w:tc>
          <w:tcPr>
            <w:tcW w:type="dxa" w:w="1944"/>
          </w:tcPr>
          <w:p>
            <w:r>
              <w:rPr>
                <w:sz w:val="17"/>
              </w:rPr>
              <w:t>[amount per RIVR policy — CONFIRM]</w:t>
            </w:r>
          </w:p>
        </w:tc>
        <w:tc>
          <w:tcPr>
            <w:tcW w:type="dxa" w:w="1800"/>
          </w:tcPr>
          <w:p>
            <w:r>
              <w:rPr>
                <w:sz w:val="17"/>
              </w:rPr>
              <w:t>2300-DISC-RIVR (RIVR-funded discount — SEPARATE)</w:t>
            </w:r>
          </w:p>
        </w:tc>
        <w:tc>
          <w:tcPr>
            <w:tcW w:type="dxa" w:w="1944"/>
          </w:tcPr>
          <w:p>
            <w:r>
              <w:rPr>
                <w:sz w:val="17"/>
              </w:rPr>
              <w:t>RIVR Affordability Credit  -$[x]</w:t>
            </w:r>
          </w:p>
        </w:tc>
        <w:tc>
          <w:tcPr>
            <w:tcW w:type="dxa" w:w="3024"/>
          </w:tcPr>
          <w:p>
            <w:r>
              <w:rPr>
                <w:sz w:val="17"/>
              </w:rPr>
              <w:t>Funded by RIVR (SR-10.2 stream 3). SEPARATE GL. Internal marketing/retention discount; not a federal subsidy; not claimed to USAC.</w:t>
            </w:r>
          </w:p>
        </w:tc>
      </w:tr>
      <w:tr>
        <w:tc>
          <w:tcPr>
            <w:tcW w:type="dxa" w:w="1368"/>
          </w:tcPr>
          <w:p>
            <w:r>
              <w:rPr>
                <w:sz w:val="17"/>
              </w:rPr>
              <w:t>EQ-RTR-IN</w:t>
            </w:r>
          </w:p>
        </w:tc>
        <w:tc>
          <w:tcPr>
            <w:tcW w:type="dxa" w:w="1944"/>
          </w:tcPr>
          <w:p>
            <w:r>
              <w:rPr>
                <w:sz w:val="17"/>
              </w:rPr>
              <w:t>Indoor Wi-Fi 6 router rental</w:t>
            </w:r>
          </w:p>
        </w:tc>
        <w:tc>
          <w:tcPr>
            <w:tcW w:type="dxa" w:w="1296"/>
          </w:tcPr>
          <w:p>
            <w:r>
              <w:rPr>
                <w:sz w:val="17"/>
              </w:rPr>
              <w:t>Recurring equipment charge (+)</w:t>
            </w:r>
          </w:p>
        </w:tc>
        <w:tc>
          <w:tcPr>
            <w:tcW w:type="dxa" w:w="1944"/>
          </w:tcPr>
          <w:p>
            <w:r>
              <w:rPr>
                <w:sz w:val="17"/>
              </w:rPr>
              <w:t>$5.00 / mo [CONFIRM — site shows conflict free vs $5, SR-8.4]</w:t>
            </w:r>
          </w:p>
        </w:tc>
        <w:tc>
          <w:tcPr>
            <w:tcW w:type="dxa" w:w="1800"/>
          </w:tcPr>
          <w:p>
            <w:r>
              <w:rPr>
                <w:sz w:val="17"/>
              </w:rPr>
              <w:t>4100-EQ-RENT (revenue — equipment rental)</w:t>
            </w:r>
          </w:p>
        </w:tc>
        <w:tc>
          <w:tcPr>
            <w:tcW w:type="dxa" w:w="1944"/>
          </w:tcPr>
          <w:p>
            <w:r>
              <w:rPr>
                <w:sz w:val="17"/>
              </w:rPr>
              <w:t>Wi-Fi Router Rental  $5.00</w:t>
            </w:r>
          </w:p>
        </w:tc>
        <w:tc>
          <w:tcPr>
            <w:tcW w:type="dxa" w:w="3024"/>
          </w:tcPr>
          <w:p>
            <w:r>
              <w:rPr>
                <w:sz w:val="17"/>
              </w:rPr>
              <w:t>Taxable TPP rental (SR-9.4). Resolve the free-vs-$5 conflict before enabling (SR-8.4).</w:t>
            </w:r>
          </w:p>
        </w:tc>
      </w:tr>
      <w:tr>
        <w:tc>
          <w:tcPr>
            <w:tcW w:type="dxa" w:w="1368"/>
          </w:tcPr>
          <w:p>
            <w:r>
              <w:rPr>
                <w:sz w:val="17"/>
              </w:rPr>
              <w:t>EQ-MESH-OUT</w:t>
            </w:r>
          </w:p>
        </w:tc>
        <w:tc>
          <w:tcPr>
            <w:tcW w:type="dxa" w:w="1944"/>
          </w:tcPr>
          <w:p>
            <w:r>
              <w:rPr>
                <w:sz w:val="17"/>
              </w:rPr>
              <w:t>Outdoor mesh Wi-Fi rental / managed Wi-Fi</w:t>
            </w:r>
          </w:p>
        </w:tc>
        <w:tc>
          <w:tcPr>
            <w:tcW w:type="dxa" w:w="1296"/>
          </w:tcPr>
          <w:p>
            <w:r>
              <w:rPr>
                <w:sz w:val="17"/>
              </w:rPr>
              <w:t>Recurring equipment charge (+)</w:t>
            </w:r>
          </w:p>
        </w:tc>
        <w:tc>
          <w:tcPr>
            <w:tcW w:type="dxa" w:w="1944"/>
          </w:tcPr>
          <w:p>
            <w:r>
              <w:rPr>
                <w:sz w:val="17"/>
              </w:rPr>
              <w:t>$10.00 / mo [CONFIRM, SR-8.4]</w:t>
            </w:r>
          </w:p>
        </w:tc>
        <w:tc>
          <w:tcPr>
            <w:tcW w:type="dxa" w:w="1800"/>
          </w:tcPr>
          <w:p>
            <w:r>
              <w:rPr>
                <w:sz w:val="17"/>
              </w:rPr>
              <w:t>4100-EQ-RENT (revenue — equipment rental)</w:t>
            </w:r>
          </w:p>
        </w:tc>
        <w:tc>
          <w:tcPr>
            <w:tcW w:type="dxa" w:w="1944"/>
          </w:tcPr>
          <w:p>
            <w:r>
              <w:rPr>
                <w:sz w:val="17"/>
              </w:rPr>
              <w:t>Outdoor Mesh Wi-Fi  $10.00</w:t>
            </w:r>
          </w:p>
        </w:tc>
        <w:tc>
          <w:tcPr>
            <w:tcW w:type="dxa" w:w="3024"/>
          </w:tcPr>
          <w:p>
            <w:r>
              <w:rPr>
                <w:sz w:val="17"/>
              </w:rPr>
              <w:t>Managed-Wi-Fi tax treatment is OPEN (SR-9.6) — do not set taxable until tax advisor confirms. See §3.</w:t>
            </w:r>
          </w:p>
        </w:tc>
      </w:tr>
      <w:tr>
        <w:tc>
          <w:tcPr>
            <w:tcW w:type="dxa" w:w="1368"/>
          </w:tcPr>
          <w:p>
            <w:r>
              <w:rPr>
                <w:sz w:val="17"/>
              </w:rPr>
              <w:t>INS-INSTALL</w:t>
            </w:r>
          </w:p>
        </w:tc>
        <w:tc>
          <w:tcPr>
            <w:tcW w:type="dxa" w:w="1944"/>
          </w:tcPr>
          <w:p>
            <w:r>
              <w:rPr>
                <w:sz w:val="17"/>
              </w:rPr>
              <w:t>Professional installation (one-time)</w:t>
            </w:r>
          </w:p>
        </w:tc>
        <w:tc>
          <w:tcPr>
            <w:tcW w:type="dxa" w:w="1296"/>
          </w:tcPr>
          <w:p>
            <w:r>
              <w:rPr>
                <w:sz w:val="17"/>
              </w:rPr>
              <w:t>One-time charge (+)</w:t>
            </w:r>
          </w:p>
        </w:tc>
        <w:tc>
          <w:tcPr>
            <w:tcW w:type="dxa" w:w="1944"/>
          </w:tcPr>
          <w:p>
            <w:r>
              <w:rPr>
                <w:sz w:val="17"/>
              </w:rPr>
              <w:t>$0 promotional ($99 value) [CONFIRM, SR-8.4]</w:t>
            </w:r>
          </w:p>
        </w:tc>
        <w:tc>
          <w:tcPr>
            <w:tcW w:type="dxa" w:w="1800"/>
          </w:tcPr>
          <w:p>
            <w:r>
              <w:rPr>
                <w:sz w:val="17"/>
              </w:rPr>
              <w:t>4200-INSTALL (revenue — installation)</w:t>
            </w:r>
          </w:p>
        </w:tc>
        <w:tc>
          <w:tcPr>
            <w:tcW w:type="dxa" w:w="1944"/>
          </w:tcPr>
          <w:p>
            <w:r>
              <w:rPr>
                <w:sz w:val="17"/>
              </w:rPr>
              <w:t>Professional Installation  $0.00 (promo)</w:t>
            </w:r>
          </w:p>
        </w:tc>
        <w:tc>
          <w:tcPr>
            <w:tcW w:type="dxa" w:w="3024"/>
          </w:tcPr>
          <w:p>
            <w:r>
              <w:rPr>
                <w:sz w:val="17"/>
              </w:rPr>
              <w:t>Taxability turns on what the install attaches to (SR-9.5). One-time, not recurring.</w:t>
            </w:r>
          </w:p>
        </w:tc>
      </w:tr>
      <w:tr>
        <w:tc>
          <w:tcPr>
            <w:tcW w:type="dxa" w:w="1368"/>
          </w:tcPr>
          <w:p>
            <w:r>
              <w:rPr>
                <w:sz w:val="17"/>
              </w:rPr>
              <w:t>VC-VOICE</w:t>
            </w:r>
          </w:p>
        </w:tc>
        <w:tc>
          <w:tcPr>
            <w:tcW w:type="dxa" w:w="1944"/>
          </w:tcPr>
          <w:p>
            <w:r>
              <w:rPr>
                <w:sz w:val="17"/>
              </w:rPr>
              <w:t>Residential voice add-on (optional)</w:t>
            </w:r>
          </w:p>
        </w:tc>
        <w:tc>
          <w:tcPr>
            <w:tcW w:type="dxa" w:w="1296"/>
          </w:tcPr>
          <w:p>
            <w:r>
              <w:rPr>
                <w:sz w:val="17"/>
              </w:rPr>
              <w:t>Recurring plan charge (+)</w:t>
            </w:r>
          </w:p>
        </w:tc>
        <w:tc>
          <w:tcPr>
            <w:tcW w:type="dxa" w:w="1944"/>
          </w:tcPr>
          <w:p>
            <w:r>
              <w:rPr>
                <w:sz w:val="17"/>
              </w:rPr>
              <w:t>[retail — from RIVR price sheet — OBTAIN, SR-8.5]</w:t>
            </w:r>
          </w:p>
        </w:tc>
        <w:tc>
          <w:tcPr>
            <w:tcW w:type="dxa" w:w="1800"/>
          </w:tcPr>
          <w:p>
            <w:r>
              <w:rPr>
                <w:sz w:val="17"/>
              </w:rPr>
              <w:t>4300-VOICE (revenue — voice)</w:t>
            </w:r>
          </w:p>
        </w:tc>
        <w:tc>
          <w:tcPr>
            <w:tcW w:type="dxa" w:w="1944"/>
          </w:tcPr>
          <w:p>
            <w:r>
              <w:rPr>
                <w:sz w:val="17"/>
              </w:rPr>
              <w:t>Home Phone (Unlimited)  $[x]</w:t>
            </w:r>
          </w:p>
        </w:tc>
        <w:tc>
          <w:tcPr>
            <w:tcW w:type="dxa" w:w="3024"/>
          </w:tcPr>
          <w:p>
            <w:r>
              <w:rPr>
                <w:sz w:val="17"/>
              </w:rPr>
              <w:t>Optional; program is broadband-first. Voice is TAXABLE and triggers 911 + USF (see §3, SR-9.3/9.7/9.8). Voice-only Lifeline = $5.25 (SR-1.2) — not used if bundled broadband credit applies.</w:t>
            </w:r>
          </w:p>
        </w:tc>
      </w:tr>
    </w:tbl>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Keep CR-LL-STD, CR-LL-TRB, DC-TRIBE, and DC-RIVR mapped to FOUR SEPARATE GL categories. The two federal credits are USAC pass-through contra-revenue; the Tribe and RIVR discounts are funded from different sources and must never be commingled or claimed to USAC (SR-10.2).</w:t>
            </w:r>
          </w:p>
        </w:tc>
      </w:tr>
    </w:tbl>
    <w:p>
      <w:pPr>
        <w:pStyle w:val="Heading1"/>
      </w:pPr>
      <w:r>
        <w:t>3. Tax Treatment Configuration</w:t>
      </w:r>
    </w:p>
    <w:p>
      <w:r>
        <w:rPr>
          <w:b w:val="0"/>
          <w:i w:val="0"/>
          <w:sz w:val="21"/>
        </w:rPr>
        <w:t>This is NOT tax advice. Every determination below requires confirmation by RIVR's tax advisor (Deliverable 13 open issue [TAX]). Configure the NISC tax engine per component; do not apply a blanket tax rule to the whole bill.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fill="2E5496"/>
          </w:tcPr>
          <w:p>
            <w:r>
              <w:rPr>
                <w:b/>
                <w:color w:val="FFFFFF"/>
                <w:sz w:val="18"/>
              </w:rPr>
              <w:t>Component</w:t>
            </w:r>
          </w:p>
        </w:tc>
        <w:tc>
          <w:tcPr>
            <w:tcW w:type="dxa" w:w="1656"/>
            <w:shd w:val="clear" w:fill="2E5496"/>
          </w:tcPr>
          <w:p>
            <w:r>
              <w:rPr>
                <w:b/>
                <w:color w:val="FFFFFF"/>
                <w:sz w:val="18"/>
              </w:rPr>
              <w:t>Taxable?</w:t>
            </w:r>
          </w:p>
        </w:tc>
        <w:tc>
          <w:tcPr>
            <w:tcW w:type="dxa" w:w="3384"/>
            <w:shd w:val="clear" w:fill="2E5496"/>
          </w:tcPr>
          <w:p>
            <w:r>
              <w:rPr>
                <w:b/>
                <w:color w:val="FFFFFF"/>
                <w:sz w:val="18"/>
              </w:rPr>
              <w:t>Basis</w:t>
            </w:r>
          </w:p>
        </w:tc>
        <w:tc>
          <w:tcPr>
            <w:tcW w:type="dxa" w:w="3456"/>
            <w:shd w:val="clear" w:fill="2E5496"/>
          </w:tcPr>
          <w:p>
            <w:r>
              <w:rPr>
                <w:b/>
                <w:color w:val="FFFFFF"/>
                <w:sz w:val="18"/>
              </w:rPr>
              <w:t>Config note (illustrative) [CONFIRM in NISC]</w:t>
            </w:r>
          </w:p>
        </w:tc>
      </w:tr>
      <w:tr>
        <w:tc>
          <w:tcPr>
            <w:tcW w:type="dxa" w:w="2304"/>
          </w:tcPr>
          <w:p>
            <w:r>
              <w:rPr>
                <w:sz w:val="17"/>
              </w:rPr>
              <w:t>Broadband access (Senior 100/100 plan charge)</w:t>
            </w:r>
          </w:p>
        </w:tc>
        <w:tc>
          <w:tcPr>
            <w:tcW w:type="dxa" w:w="1656"/>
          </w:tcPr>
          <w:p>
            <w:r>
              <w:rPr>
                <w:sz w:val="17"/>
              </w:rPr>
              <w:t>NON-taxable</w:t>
            </w:r>
          </w:p>
        </w:tc>
        <w:tc>
          <w:tcPr>
            <w:tcW w:type="dxa" w:w="3384"/>
          </w:tcPr>
          <w:p>
            <w:r>
              <w:rPr>
                <w:sz w:val="17"/>
              </w:rPr>
              <w:t>Internet Tax Freedom Act — states/localities may not tax internet access; NC excludes standalone internet from taxable telecom (SR-9.1, SR-9.2)</w:t>
            </w:r>
          </w:p>
        </w:tc>
        <w:tc>
          <w:tcPr>
            <w:tcW w:type="dxa" w:w="3456"/>
          </w:tcPr>
          <w:p>
            <w:r>
              <w:rPr>
                <w:sz w:val="17"/>
              </w:rPr>
              <w:t>Map RC-SEN100 to a NON-TAXABLE tax category. Do NOT attach a sales-tax rule. Watch bundling: if sold with taxable components the bundle treatment may change — [CONFIRM] (SR-9.2).</w:t>
            </w:r>
          </w:p>
        </w:tc>
      </w:tr>
      <w:tr>
        <w:tc>
          <w:tcPr>
            <w:tcW w:type="dxa" w:w="2304"/>
          </w:tcPr>
          <w:p>
            <w:r>
              <w:rPr>
                <w:sz w:val="17"/>
              </w:rPr>
              <w:t>Equipment rental (router / mesh)</w:t>
            </w:r>
          </w:p>
        </w:tc>
        <w:tc>
          <w:tcPr>
            <w:tcW w:type="dxa" w:w="1656"/>
          </w:tcPr>
          <w:p>
            <w:r>
              <w:rPr>
                <w:sz w:val="17"/>
              </w:rPr>
              <w:t>TAXABLE</w:t>
            </w:r>
          </w:p>
        </w:tc>
        <w:tc>
          <w:tcPr>
            <w:tcW w:type="dxa" w:w="3384"/>
          </w:tcPr>
          <w:p>
            <w:r>
              <w:rPr>
                <w:sz w:val="17"/>
              </w:rPr>
              <w:t>Lease/rental of tangible personal property is taxable in NC each billing period (SR-9.4)</w:t>
            </w:r>
          </w:p>
        </w:tc>
        <w:tc>
          <w:tcPr>
            <w:tcW w:type="dxa" w:w="3456"/>
          </w:tcPr>
          <w:p>
            <w:r>
              <w:rPr>
                <w:sz w:val="17"/>
              </w:rPr>
              <w:t>Map EQ-RTR-IN to a TAXABLE TPP-rental category, taxed every cycle. Bundling-with-internet treatment [CONFIRM] (SR-9.4).</w:t>
            </w:r>
          </w:p>
        </w:tc>
      </w:tr>
      <w:tr>
        <w:tc>
          <w:tcPr>
            <w:tcW w:type="dxa" w:w="2304"/>
          </w:tcPr>
          <w:p>
            <w:r>
              <w:rPr>
                <w:sz w:val="17"/>
              </w:rPr>
              <w:t>Installation (one-time)</w:t>
            </w:r>
          </w:p>
        </w:tc>
        <w:tc>
          <w:tcPr>
            <w:tcW w:type="dxa" w:w="1656"/>
          </w:tcPr>
          <w:p>
            <w:r>
              <w:rPr>
                <w:sz w:val="17"/>
              </w:rPr>
              <w:t>TAXABLE-IF (fact-specific)</w:t>
            </w:r>
          </w:p>
        </w:tc>
        <w:tc>
          <w:tcPr>
            <w:tcW w:type="dxa" w:w="3384"/>
          </w:tcPr>
          <w:p>
            <w:r>
              <w:rPr>
                <w:sz w:val="17"/>
              </w:rPr>
              <w:t>Installation is within "sales price" and taxable when tied to a taxable sale / RMI; turns on what it attaches to (SR-9.5)</w:t>
            </w:r>
          </w:p>
        </w:tc>
        <w:tc>
          <w:tcPr>
            <w:tcW w:type="dxa" w:w="3456"/>
          </w:tcPr>
          <w:p>
            <w:r>
              <w:rPr>
                <w:sz w:val="17"/>
              </w:rPr>
              <w:t>Hold INS-INSTALL tax flag until advisor confirms whether install attaches to taxable equipment or non-taxable internet [CONFIRM] (SR-9.5).</w:t>
            </w:r>
          </w:p>
        </w:tc>
      </w:tr>
      <w:tr>
        <w:tc>
          <w:tcPr>
            <w:tcW w:type="dxa" w:w="2304"/>
          </w:tcPr>
          <w:p>
            <w:r>
              <w:rPr>
                <w:sz w:val="17"/>
              </w:rPr>
              <w:t>Managed Wi-Fi (EQ-MESH-OUT)</w:t>
            </w:r>
          </w:p>
        </w:tc>
        <w:tc>
          <w:tcPr>
            <w:tcW w:type="dxa" w:w="1656"/>
          </w:tcPr>
          <w:p>
            <w:r>
              <w:rPr>
                <w:sz w:val="17"/>
              </w:rPr>
              <w:t>OPEN — DO NOT SET</w:t>
            </w:r>
          </w:p>
        </w:tc>
        <w:tc>
          <w:tcPr>
            <w:tcW w:type="dxa" w:w="3384"/>
          </w:tcPr>
          <w:p>
            <w:r>
              <w:rPr>
                <w:sz w:val="17"/>
              </w:rPr>
              <w:t>Taxability is an open, fact-specific NC question (TPP rental vs. RMI service vs. nontaxable); no NCDOR ruling located (SR-9.6)</w:t>
            </w:r>
          </w:p>
        </w:tc>
        <w:tc>
          <w:tcPr>
            <w:tcW w:type="dxa" w:w="3456"/>
          </w:tcPr>
          <w:p>
            <w:r>
              <w:rPr>
                <w:sz w:val="17"/>
              </w:rPr>
              <w:t>Leave tax category UNSET / non-taxable placeholder and flag for tax advisor. Do not guess [CONFIRM] (SR-9.6).</w:t>
            </w:r>
          </w:p>
        </w:tc>
      </w:tr>
      <w:tr>
        <w:tc>
          <w:tcPr>
            <w:tcW w:type="dxa" w:w="2304"/>
          </w:tcPr>
          <w:p>
            <w:r>
              <w:rPr>
                <w:sz w:val="17"/>
              </w:rPr>
              <w:t>Voice (optional VC-VOICE)</w:t>
            </w:r>
          </w:p>
        </w:tc>
        <w:tc>
          <w:tcPr>
            <w:tcW w:type="dxa" w:w="1656"/>
          </w:tcPr>
          <w:p>
            <w:r>
              <w:rPr>
                <w:sz w:val="17"/>
              </w:rPr>
              <w:t>TAXABLE + surcharges</w:t>
            </w:r>
          </w:p>
        </w:tc>
        <w:tc>
          <w:tcPr>
            <w:tcW w:type="dxa" w:w="3384"/>
          </w:tcPr>
          <w:p>
            <w:r>
              <w:rPr>
                <w:sz w:val="17"/>
              </w:rPr>
              <w:t>NC taxes telecom/voice at 7.00% combined general rate; NC 911 = $0.70/mo per voice connection; federal USF on interstate voice revenue (SR-9.3, SR-9.7, SR-9.8)</w:t>
            </w:r>
          </w:p>
        </w:tc>
        <w:tc>
          <w:tcPr>
            <w:tcW w:type="dxa" w:w="3456"/>
          </w:tcPr>
          <w:p>
            <w:r>
              <w:rPr>
                <w:sz w:val="17"/>
              </w:rPr>
              <w:t>Map VC-VOICE to TAXABLE @ 7.00% [CONFIRM]; add NC 911 fee $0.70/connection as a separate regulatory line; apply USF contribution pass-through per advisor. Broadband NOT USF-assessed (SR-9.7).</w:t>
            </w:r>
          </w:p>
        </w:tc>
      </w:tr>
    </w:tbl>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DO NOT enable a "plus tax" bill line on the Senior BROADBAND plan until the tax advisor confirms which components are taxable. Broadband access itself is non-taxable under ITFA; only equipment/voice/install may be. Advertising or billing "+ tax" on broadband before confirmation risks an improper charge (SR-9.9).</w:t>
            </w:r>
          </w:p>
        </w:tc>
      </w:tr>
    </w:tbl>
    <w:p>
      <w:pPr>
        <w:pStyle w:val="Heading1"/>
      </w:pPr>
      <w:r>
        <w:t>4. General-Ledger Mapping</w:t>
      </w:r>
    </w:p>
    <w:p>
      <w:r>
        <w:rPr>
          <w:b w:val="0"/>
          <w:i w:val="0"/>
          <w:sz w:val="21"/>
        </w:rPr>
        <w:t>Every code maps to a GL account that preserves the four-stream separation (SR-10.2) and creates a clean audit trail from bill line → GL → USAC reimbursement. Account numbers are ILLUSTRATIVE placeholders [CONFIRM in NISC] — Finance assigns the real chart-of-accounts values.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32"/>
            <w:shd w:val="clear" w:fill="2E5496"/>
          </w:tcPr>
          <w:p>
            <w:r>
              <w:rPr>
                <w:b/>
                <w:color w:val="FFFFFF"/>
                <w:sz w:val="18"/>
              </w:rPr>
              <w:t>Code (illustrative)</w:t>
            </w:r>
          </w:p>
        </w:tc>
        <w:tc>
          <w:tcPr>
            <w:tcW w:type="dxa" w:w="1944"/>
            <w:shd w:val="clear" w:fill="2E5496"/>
          </w:tcPr>
          <w:p>
            <w:r>
              <w:rPr>
                <w:b/>
                <w:color w:val="FFFFFF"/>
                <w:sz w:val="18"/>
              </w:rPr>
              <w:t>GL account (illustrative)</w:t>
            </w:r>
          </w:p>
        </w:tc>
        <w:tc>
          <w:tcPr>
            <w:tcW w:type="dxa" w:w="4104"/>
            <w:shd w:val="clear" w:fill="2E5496"/>
          </w:tcPr>
          <w:p>
            <w:r>
              <w:rPr>
                <w:b/>
                <w:color w:val="FFFFFF"/>
                <w:sz w:val="18"/>
              </w:rPr>
              <w:t>GL account name / purpose</w:t>
            </w:r>
          </w:p>
        </w:tc>
        <w:tc>
          <w:tcPr>
            <w:tcW w:type="dxa" w:w="2520"/>
            <w:shd w:val="clear" w:fill="2E5496"/>
          </w:tcPr>
          <w:p>
            <w:r>
              <w:rPr>
                <w:b/>
                <w:color w:val="FFFFFF"/>
                <w:sz w:val="18"/>
              </w:rPr>
              <w:t>Funding stream (SR-10.2)</w:t>
            </w:r>
          </w:p>
        </w:tc>
      </w:tr>
      <w:tr>
        <w:tc>
          <w:tcPr>
            <w:tcW w:type="dxa" w:w="2232"/>
          </w:tcPr>
          <w:p>
            <w:r>
              <w:rPr>
                <w:sz w:val="17"/>
              </w:rPr>
              <w:t>RC-SEN100</w:t>
            </w:r>
          </w:p>
        </w:tc>
        <w:tc>
          <w:tcPr>
            <w:tcW w:type="dxa" w:w="1944"/>
          </w:tcPr>
          <w:p>
            <w:r>
              <w:rPr>
                <w:sz w:val="17"/>
              </w:rPr>
              <w:t>4000-BB-SEN</w:t>
            </w:r>
          </w:p>
        </w:tc>
        <w:tc>
          <w:tcPr>
            <w:tcW w:type="dxa" w:w="4104"/>
          </w:tcPr>
          <w:p>
            <w:r>
              <w:rPr>
                <w:sz w:val="17"/>
              </w:rPr>
              <w:t>Revenue — broadband (Senior plan)</w:t>
            </w:r>
          </w:p>
        </w:tc>
        <w:tc>
          <w:tcPr>
            <w:tcW w:type="dxa" w:w="2520"/>
          </w:tcPr>
          <w:p>
            <w:r>
              <w:rPr>
                <w:sz w:val="17"/>
              </w:rPr>
              <w:t>RIVR revenue</w:t>
            </w:r>
          </w:p>
        </w:tc>
      </w:tr>
      <w:tr>
        <w:tc>
          <w:tcPr>
            <w:tcW w:type="dxa" w:w="2232"/>
          </w:tcPr>
          <w:p>
            <w:r>
              <w:rPr>
                <w:sz w:val="17"/>
              </w:rPr>
              <w:t>EQ-RTR-IN / EQ-MESH-OUT</w:t>
            </w:r>
          </w:p>
        </w:tc>
        <w:tc>
          <w:tcPr>
            <w:tcW w:type="dxa" w:w="1944"/>
          </w:tcPr>
          <w:p>
            <w:r>
              <w:rPr>
                <w:sz w:val="17"/>
              </w:rPr>
              <w:t>4100-EQ-RENT</w:t>
            </w:r>
          </w:p>
        </w:tc>
        <w:tc>
          <w:tcPr>
            <w:tcW w:type="dxa" w:w="4104"/>
          </w:tcPr>
          <w:p>
            <w:r>
              <w:rPr>
                <w:sz w:val="17"/>
              </w:rPr>
              <w:t>Revenue — equipment rental</w:t>
            </w:r>
          </w:p>
        </w:tc>
        <w:tc>
          <w:tcPr>
            <w:tcW w:type="dxa" w:w="2520"/>
          </w:tcPr>
          <w:p>
            <w:r>
              <w:rPr>
                <w:sz w:val="17"/>
              </w:rPr>
              <w:t>RIVR revenue</w:t>
            </w:r>
          </w:p>
        </w:tc>
      </w:tr>
      <w:tr>
        <w:tc>
          <w:tcPr>
            <w:tcW w:type="dxa" w:w="2232"/>
          </w:tcPr>
          <w:p>
            <w:r>
              <w:rPr>
                <w:sz w:val="17"/>
              </w:rPr>
              <w:t>INS-INSTALL</w:t>
            </w:r>
          </w:p>
        </w:tc>
        <w:tc>
          <w:tcPr>
            <w:tcW w:type="dxa" w:w="1944"/>
          </w:tcPr>
          <w:p>
            <w:r>
              <w:rPr>
                <w:sz w:val="17"/>
              </w:rPr>
              <w:t>4200-INSTALL</w:t>
            </w:r>
          </w:p>
        </w:tc>
        <w:tc>
          <w:tcPr>
            <w:tcW w:type="dxa" w:w="4104"/>
          </w:tcPr>
          <w:p>
            <w:r>
              <w:rPr>
                <w:sz w:val="17"/>
              </w:rPr>
              <w:t>Revenue — installation (one-time)</w:t>
            </w:r>
          </w:p>
        </w:tc>
        <w:tc>
          <w:tcPr>
            <w:tcW w:type="dxa" w:w="2520"/>
          </w:tcPr>
          <w:p>
            <w:r>
              <w:rPr>
                <w:sz w:val="17"/>
              </w:rPr>
              <w:t>RIVR revenue</w:t>
            </w:r>
          </w:p>
        </w:tc>
      </w:tr>
      <w:tr>
        <w:tc>
          <w:tcPr>
            <w:tcW w:type="dxa" w:w="2232"/>
          </w:tcPr>
          <w:p>
            <w:r>
              <w:rPr>
                <w:sz w:val="17"/>
              </w:rPr>
              <w:t>VC-VOICE</w:t>
            </w:r>
          </w:p>
        </w:tc>
        <w:tc>
          <w:tcPr>
            <w:tcW w:type="dxa" w:w="1944"/>
          </w:tcPr>
          <w:p>
            <w:r>
              <w:rPr>
                <w:sz w:val="17"/>
              </w:rPr>
              <w:t>4300-VOICE</w:t>
            </w:r>
          </w:p>
        </w:tc>
        <w:tc>
          <w:tcPr>
            <w:tcW w:type="dxa" w:w="4104"/>
          </w:tcPr>
          <w:p>
            <w:r>
              <w:rPr>
                <w:sz w:val="17"/>
              </w:rPr>
              <w:t>Revenue — voice</w:t>
            </w:r>
          </w:p>
        </w:tc>
        <w:tc>
          <w:tcPr>
            <w:tcW w:type="dxa" w:w="2520"/>
          </w:tcPr>
          <w:p>
            <w:r>
              <w:rPr>
                <w:sz w:val="17"/>
              </w:rPr>
              <w:t>RIVR revenue</w:t>
            </w:r>
          </w:p>
        </w:tc>
      </w:tr>
      <w:tr>
        <w:tc>
          <w:tcPr>
            <w:tcW w:type="dxa" w:w="2232"/>
          </w:tcPr>
          <w:p>
            <w:r>
              <w:rPr>
                <w:sz w:val="17"/>
              </w:rPr>
              <w:t>CR-LL-STD</w:t>
            </w:r>
          </w:p>
        </w:tc>
        <w:tc>
          <w:tcPr>
            <w:tcW w:type="dxa" w:w="1944"/>
          </w:tcPr>
          <w:p>
            <w:r>
              <w:rPr>
                <w:sz w:val="17"/>
              </w:rPr>
              <w:t>2100-LL-USAC</w:t>
            </w:r>
          </w:p>
        </w:tc>
        <w:tc>
          <w:tcPr>
            <w:tcW w:type="dxa" w:w="4104"/>
          </w:tcPr>
          <w:p>
            <w:r>
              <w:rPr>
                <w:sz w:val="17"/>
              </w:rPr>
              <w:t>Contra-revenue — federal Lifeline credit passed to customer</w:t>
            </w:r>
          </w:p>
        </w:tc>
        <w:tc>
          <w:tcPr>
            <w:tcW w:type="dxa" w:w="2520"/>
          </w:tcPr>
          <w:p>
            <w:r>
              <w:rPr>
                <w:sz w:val="17"/>
              </w:rPr>
              <w:t>(1) Federal Lifeline / USAC</w:t>
            </w:r>
          </w:p>
        </w:tc>
      </w:tr>
      <w:tr>
        <w:tc>
          <w:tcPr>
            <w:tcW w:type="dxa" w:w="2232"/>
          </w:tcPr>
          <w:p>
            <w:r>
              <w:rPr>
                <w:sz w:val="17"/>
              </w:rPr>
              <w:t>CR-LL-TRB</w:t>
            </w:r>
          </w:p>
        </w:tc>
        <w:tc>
          <w:tcPr>
            <w:tcW w:type="dxa" w:w="1944"/>
          </w:tcPr>
          <w:p>
            <w:r>
              <w:rPr>
                <w:sz w:val="17"/>
              </w:rPr>
              <w:t>2101-LL-TRIBAL</w:t>
            </w:r>
          </w:p>
        </w:tc>
        <w:tc>
          <w:tcPr>
            <w:tcW w:type="dxa" w:w="4104"/>
          </w:tcPr>
          <w:p>
            <w:r>
              <w:rPr>
                <w:sz w:val="17"/>
              </w:rPr>
              <w:t>Contra-revenue — enhanced Tribal credit passed to customer</w:t>
            </w:r>
          </w:p>
        </w:tc>
        <w:tc>
          <w:tcPr>
            <w:tcW w:type="dxa" w:w="2520"/>
          </w:tcPr>
          <w:p>
            <w:r>
              <w:rPr>
                <w:sz w:val="17"/>
              </w:rPr>
              <w:t>(1) Federal Lifeline / USAC (Tribal)</w:t>
            </w:r>
          </w:p>
        </w:tc>
      </w:tr>
      <w:tr>
        <w:tc>
          <w:tcPr>
            <w:tcW w:type="dxa" w:w="2232"/>
          </w:tcPr>
          <w:p>
            <w:r>
              <w:rPr>
                <w:sz w:val="17"/>
              </w:rPr>
              <w:t>(receivable)</w:t>
            </w:r>
          </w:p>
        </w:tc>
        <w:tc>
          <w:tcPr>
            <w:tcW w:type="dxa" w:w="1944"/>
          </w:tcPr>
          <w:p>
            <w:r>
              <w:rPr>
                <w:sz w:val="17"/>
              </w:rPr>
              <w:t>1300-USAC-AR</w:t>
            </w:r>
          </w:p>
        </w:tc>
        <w:tc>
          <w:tcPr>
            <w:tcW w:type="dxa" w:w="4104"/>
          </w:tcPr>
          <w:p>
            <w:r>
              <w:rPr>
                <w:sz w:val="17"/>
              </w:rPr>
              <w:t>USAC reimbursement RECEIVABLE — amount claimed via LCS, awaiting cash</w:t>
            </w:r>
          </w:p>
        </w:tc>
        <w:tc>
          <w:tcPr>
            <w:tcW w:type="dxa" w:w="2520"/>
          </w:tcPr>
          <w:p>
            <w:r>
              <w:rPr>
                <w:sz w:val="17"/>
              </w:rPr>
              <w:t>(1) Federal Lifeline / USAC</w:t>
            </w:r>
          </w:p>
        </w:tc>
      </w:tr>
      <w:tr>
        <w:tc>
          <w:tcPr>
            <w:tcW w:type="dxa" w:w="2232"/>
          </w:tcPr>
          <w:p>
            <w:r>
              <w:rPr>
                <w:sz w:val="17"/>
              </w:rPr>
              <w:t>(receivable, Tribal)</w:t>
            </w:r>
          </w:p>
        </w:tc>
        <w:tc>
          <w:tcPr>
            <w:tcW w:type="dxa" w:w="1944"/>
          </w:tcPr>
          <w:p>
            <w:r>
              <w:rPr>
                <w:sz w:val="17"/>
              </w:rPr>
              <w:t>1301-USAC-AR-TRB</w:t>
            </w:r>
          </w:p>
        </w:tc>
        <w:tc>
          <w:tcPr>
            <w:tcW w:type="dxa" w:w="4104"/>
          </w:tcPr>
          <w:p>
            <w:r>
              <w:rPr>
                <w:sz w:val="17"/>
              </w:rPr>
              <w:t>USAC reimbursement receivable — enhanced Tribal portion (separate for audit)</w:t>
            </w:r>
          </w:p>
        </w:tc>
        <w:tc>
          <w:tcPr>
            <w:tcW w:type="dxa" w:w="2520"/>
          </w:tcPr>
          <w:p>
            <w:r>
              <w:rPr>
                <w:sz w:val="17"/>
              </w:rPr>
              <w:t>(1) Federal Lifeline / USAC (Tribal)</w:t>
            </w:r>
          </w:p>
        </w:tc>
      </w:tr>
      <w:tr>
        <w:tc>
          <w:tcPr>
            <w:tcW w:type="dxa" w:w="2232"/>
          </w:tcPr>
          <w:p>
            <w:r>
              <w:rPr>
                <w:sz w:val="17"/>
              </w:rPr>
              <w:t>DC-TRIBE</w:t>
            </w:r>
          </w:p>
        </w:tc>
        <w:tc>
          <w:tcPr>
            <w:tcW w:type="dxa" w:w="1944"/>
          </w:tcPr>
          <w:p>
            <w:r>
              <w:rPr>
                <w:sz w:val="17"/>
              </w:rPr>
              <w:t>2200-DISC-TRIBE</w:t>
            </w:r>
          </w:p>
        </w:tc>
        <w:tc>
          <w:tcPr>
            <w:tcW w:type="dxa" w:w="4104"/>
          </w:tcPr>
          <w:p>
            <w:r>
              <w:rPr>
                <w:sz w:val="17"/>
              </w:rPr>
              <w:t>Contra-revenue — Lumbee Tribe-funded discount</w:t>
            </w:r>
          </w:p>
        </w:tc>
        <w:tc>
          <w:tcPr>
            <w:tcW w:type="dxa" w:w="2520"/>
          </w:tcPr>
          <w:p>
            <w:r>
              <w:rPr>
                <w:sz w:val="17"/>
              </w:rPr>
              <w:t>(4) Lumbee Tribe contributions</w:t>
            </w:r>
          </w:p>
        </w:tc>
      </w:tr>
      <w:tr>
        <w:tc>
          <w:tcPr>
            <w:tcW w:type="dxa" w:w="2232"/>
          </w:tcPr>
          <w:p>
            <w:r>
              <w:rPr>
                <w:sz w:val="17"/>
              </w:rPr>
              <w:t>(receivable, Tribe)</w:t>
            </w:r>
          </w:p>
        </w:tc>
        <w:tc>
          <w:tcPr>
            <w:tcW w:type="dxa" w:w="1944"/>
          </w:tcPr>
          <w:p>
            <w:r>
              <w:rPr>
                <w:sz w:val="17"/>
              </w:rPr>
              <w:t>1320-TRIBE-AR</w:t>
            </w:r>
          </w:p>
        </w:tc>
        <w:tc>
          <w:tcPr>
            <w:tcW w:type="dxa" w:w="4104"/>
          </w:tcPr>
          <w:p>
            <w:r>
              <w:rPr>
                <w:sz w:val="17"/>
              </w:rPr>
              <w:t>RECEIVABLE from Lumbee Tribe — discounts funded but not yet settled</w:t>
            </w:r>
          </w:p>
        </w:tc>
        <w:tc>
          <w:tcPr>
            <w:tcW w:type="dxa" w:w="2520"/>
          </w:tcPr>
          <w:p>
            <w:r>
              <w:rPr>
                <w:sz w:val="17"/>
              </w:rPr>
              <w:t>(4) Lumbee Tribe contributions</w:t>
            </w:r>
          </w:p>
        </w:tc>
      </w:tr>
      <w:tr>
        <w:tc>
          <w:tcPr>
            <w:tcW w:type="dxa" w:w="2232"/>
          </w:tcPr>
          <w:p>
            <w:r>
              <w:rPr>
                <w:sz w:val="17"/>
              </w:rPr>
              <w:t>(settlement, Tribe)</w:t>
            </w:r>
          </w:p>
        </w:tc>
        <w:tc>
          <w:tcPr>
            <w:tcW w:type="dxa" w:w="1944"/>
          </w:tcPr>
          <w:p>
            <w:r>
              <w:rPr>
                <w:sz w:val="17"/>
              </w:rPr>
              <w:t>2400-TRIBE-SETTLE</w:t>
            </w:r>
          </w:p>
        </w:tc>
        <w:tc>
          <w:tcPr>
            <w:tcW w:type="dxa" w:w="4104"/>
          </w:tcPr>
          <w:p>
            <w:r>
              <w:rPr>
                <w:sz w:val="17"/>
              </w:rPr>
              <w:t>Tribe settlement / clearing — invoiced to and paid by the Tribe</w:t>
            </w:r>
          </w:p>
        </w:tc>
        <w:tc>
          <w:tcPr>
            <w:tcW w:type="dxa" w:w="2520"/>
          </w:tcPr>
          <w:p>
            <w:r>
              <w:rPr>
                <w:sz w:val="17"/>
              </w:rPr>
              <w:t>(4) Lumbee Tribe contributions</w:t>
            </w:r>
          </w:p>
        </w:tc>
      </w:tr>
      <w:tr>
        <w:tc>
          <w:tcPr>
            <w:tcW w:type="dxa" w:w="2232"/>
          </w:tcPr>
          <w:p>
            <w:r>
              <w:rPr>
                <w:sz w:val="17"/>
              </w:rPr>
              <w:t>DC-RIVR</w:t>
            </w:r>
          </w:p>
        </w:tc>
        <w:tc>
          <w:tcPr>
            <w:tcW w:type="dxa" w:w="1944"/>
          </w:tcPr>
          <w:p>
            <w:r>
              <w:rPr>
                <w:sz w:val="17"/>
              </w:rPr>
              <w:t>2300-DISC-RIVR</w:t>
            </w:r>
          </w:p>
        </w:tc>
        <w:tc>
          <w:tcPr>
            <w:tcW w:type="dxa" w:w="4104"/>
          </w:tcPr>
          <w:p>
            <w:r>
              <w:rPr>
                <w:sz w:val="17"/>
              </w:rPr>
              <w:t>Contra-revenue — RIVR-funded affordability discount (RIVR absorbs)</w:t>
            </w:r>
          </w:p>
        </w:tc>
        <w:tc>
          <w:tcPr>
            <w:tcW w:type="dxa" w:w="2520"/>
          </w:tcPr>
          <w:p>
            <w:r>
              <w:rPr>
                <w:sz w:val="17"/>
              </w:rPr>
              <w:t>(3) RIVR-funded discounts</w:t>
            </w:r>
          </w:p>
        </w:tc>
      </w:tr>
      <w:tr>
        <w:tc>
          <w:tcPr>
            <w:tcW w:type="dxa" w:w="2232"/>
          </w:tcPr>
          <w:p>
            <w:r>
              <w:rPr>
                <w:sz w:val="17"/>
              </w:rPr>
              <w:t>(grants, if any)</w:t>
            </w:r>
          </w:p>
        </w:tc>
        <w:tc>
          <w:tcPr>
            <w:tcW w:type="dxa" w:w="1944"/>
          </w:tcPr>
          <w:p>
            <w:r>
              <w:rPr>
                <w:sz w:val="17"/>
              </w:rPr>
              <w:t>2500-GRANT-TBCP</w:t>
            </w:r>
          </w:p>
        </w:tc>
        <w:tc>
          <w:tcPr>
            <w:tcW w:type="dxa" w:w="4104"/>
          </w:tcPr>
          <w:p>
            <w:r>
              <w:rPr>
                <w:sz w:val="17"/>
              </w:rPr>
              <w:t>Grant funds (TBCP/other) — DO NOT treat as recurring consumer subsidy unless the award authorizes it</w:t>
            </w:r>
          </w:p>
        </w:tc>
        <w:tc>
          <w:tcPr>
            <w:tcW w:type="dxa" w:w="2520"/>
          </w:tcPr>
          <w:p>
            <w:r>
              <w:rPr>
                <w:sz w:val="17"/>
              </w:rPr>
              <w:t>(2) TBCP / other grants (SR-10.1)</w:t>
            </w:r>
          </w:p>
        </w:tc>
      </w:tr>
      <w:tr>
        <w:tc>
          <w:tcPr>
            <w:tcW w:type="dxa" w:w="2232"/>
          </w:tcPr>
          <w:p>
            <w:r>
              <w:rPr>
                <w:sz w:val="17"/>
              </w:rPr>
              <w:t>Tax collected</w:t>
            </w:r>
          </w:p>
        </w:tc>
        <w:tc>
          <w:tcPr>
            <w:tcW w:type="dxa" w:w="1944"/>
          </w:tcPr>
          <w:p>
            <w:r>
              <w:rPr>
                <w:sz w:val="17"/>
              </w:rPr>
              <w:t>2600-TAX-PAYABLE</w:t>
            </w:r>
          </w:p>
        </w:tc>
        <w:tc>
          <w:tcPr>
            <w:tcW w:type="dxa" w:w="4104"/>
          </w:tcPr>
          <w:p>
            <w:r>
              <w:rPr>
                <w:sz w:val="17"/>
              </w:rPr>
              <w:t>Sales/use tax &amp; 911 collected — remit to NCDOR / NC 911 Board</w:t>
            </w:r>
          </w:p>
        </w:tc>
        <w:tc>
          <w:tcPr>
            <w:tcW w:type="dxa" w:w="2520"/>
          </w:tcPr>
          <w:p>
            <w:r>
              <w:rPr>
                <w:sz w:val="17"/>
              </w:rPr>
              <w:t>(pass-through, not revenue)</w:t>
            </w:r>
          </w:p>
        </w:tc>
      </w:tr>
    </w:tbl>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The dedicated USAC reimbursement RECEIVABLE (1300 / 1301) is the bridge between the customer credit (contra-revenue) and the cash USAC pays. At month close, credits applied in NISC (2100/2101) must equal the LCS claim, which must equal the receivable booked (1300/1301). Tribe receivable (1320) and settlement (2400) keep Tribe-funded amounts separately invoiceable and auditable (SR-10.2).</w:t>
            </w:r>
          </w:p>
        </w:tc>
      </w:tr>
    </w:tbl>
    <w:p>
      <w:pPr>
        <w:pStyle w:val="Heading1"/>
      </w:pPr>
      <w:r>
        <w:t>5. Customer-Facing Bill Descriptions</w:t>
      </w:r>
    </w:p>
    <w:p>
      <w:r>
        <w:rPr>
          <w:b w:val="0"/>
          <w:i w:val="0"/>
          <w:sz w:val="21"/>
        </w:rPr>
        <w:t>Exact suggested bill-line text. The bill must show the plan charge and each credit as separate, plain-language lines so the customer sees the full Lifeline benefit passed through (SR-6.8). Amounts shown as placeholders where retail is unconfirmed.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fill="2E5496"/>
          </w:tcPr>
          <w:p>
            <w:r>
              <w:rPr>
                <w:b/>
                <w:color w:val="FFFFFF"/>
                <w:sz w:val="18"/>
              </w:rPr>
              <w:t>Order</w:t>
            </w:r>
          </w:p>
        </w:tc>
        <w:tc>
          <w:tcPr>
            <w:tcW w:type="dxa" w:w="4824"/>
            <w:shd w:val="clear" w:fill="2E5496"/>
          </w:tcPr>
          <w:p>
            <w:r>
              <w:rPr>
                <w:b/>
                <w:color w:val="FFFFFF"/>
                <w:sz w:val="18"/>
              </w:rPr>
              <w:t>Bill line (exact suggested text)</w:t>
            </w:r>
          </w:p>
        </w:tc>
        <w:tc>
          <w:tcPr>
            <w:tcW w:type="dxa" w:w="1656"/>
            <w:shd w:val="clear" w:fill="2E5496"/>
          </w:tcPr>
          <w:p>
            <w:r>
              <w:rPr>
                <w:b/>
                <w:color w:val="FFFFFF"/>
                <w:sz w:val="18"/>
              </w:rPr>
              <w:t>Code</w:t>
            </w:r>
          </w:p>
        </w:tc>
        <w:tc>
          <w:tcPr>
            <w:tcW w:type="dxa" w:w="3456"/>
            <w:shd w:val="clear" w:fill="2E5496"/>
          </w:tcPr>
          <w:p>
            <w:r>
              <w:rPr>
                <w:b/>
                <w:color w:val="FFFFFF"/>
                <w:sz w:val="18"/>
              </w:rPr>
              <w:t>Shown when</w:t>
            </w:r>
          </w:p>
        </w:tc>
      </w:tr>
      <w:tr>
        <w:tc>
          <w:tcPr>
            <w:tcW w:type="dxa" w:w="720"/>
          </w:tcPr>
          <w:p>
            <w:r>
              <w:rPr>
                <w:sz w:val="17"/>
              </w:rPr>
              <w:t>1</w:t>
            </w:r>
          </w:p>
        </w:tc>
        <w:tc>
          <w:tcPr>
            <w:tcW w:type="dxa" w:w="4824"/>
          </w:tcPr>
          <w:p>
            <w:r>
              <w:rPr>
                <w:sz w:val="17"/>
              </w:rPr>
              <w:t>Senior 100/100 Internet …………… $[retail — from RIVR price sheet]</w:t>
            </w:r>
          </w:p>
        </w:tc>
        <w:tc>
          <w:tcPr>
            <w:tcW w:type="dxa" w:w="1656"/>
          </w:tcPr>
          <w:p>
            <w:r>
              <w:rPr>
                <w:sz w:val="17"/>
              </w:rPr>
              <w:t>RC-SEN100</w:t>
            </w:r>
          </w:p>
        </w:tc>
        <w:tc>
          <w:tcPr>
            <w:tcW w:type="dxa" w:w="3456"/>
          </w:tcPr>
          <w:p>
            <w:r>
              <w:rPr>
                <w:sz w:val="17"/>
              </w:rPr>
              <w:t>Always (plan)</w:t>
            </w:r>
          </w:p>
        </w:tc>
      </w:tr>
      <w:tr>
        <w:tc>
          <w:tcPr>
            <w:tcW w:type="dxa" w:w="720"/>
          </w:tcPr>
          <w:p>
            <w:r>
              <w:rPr>
                <w:sz w:val="17"/>
              </w:rPr>
              <w:t>2</w:t>
            </w:r>
          </w:p>
        </w:tc>
        <w:tc>
          <w:tcPr>
            <w:tcW w:type="dxa" w:w="4824"/>
          </w:tcPr>
          <w:p>
            <w:r>
              <w:rPr>
                <w:sz w:val="17"/>
              </w:rPr>
              <w:t>Wi-Fi Router Rental ………………………… $5.00</w:t>
            </w:r>
          </w:p>
        </w:tc>
        <w:tc>
          <w:tcPr>
            <w:tcW w:type="dxa" w:w="1656"/>
          </w:tcPr>
          <w:p>
            <w:r>
              <w:rPr>
                <w:sz w:val="17"/>
              </w:rPr>
              <w:t>EQ-RTR-IN</w:t>
            </w:r>
          </w:p>
        </w:tc>
        <w:tc>
          <w:tcPr>
            <w:tcW w:type="dxa" w:w="3456"/>
          </w:tcPr>
          <w:p>
            <w:r>
              <w:rPr>
                <w:sz w:val="17"/>
              </w:rPr>
              <w:t>If equipment rented [CONFIRM 8.4]</w:t>
            </w:r>
          </w:p>
        </w:tc>
      </w:tr>
      <w:tr>
        <w:tc>
          <w:tcPr>
            <w:tcW w:type="dxa" w:w="720"/>
          </w:tcPr>
          <w:p>
            <w:r>
              <w:rPr>
                <w:sz w:val="17"/>
              </w:rPr>
              <w:t>3</w:t>
            </w:r>
          </w:p>
        </w:tc>
        <w:tc>
          <w:tcPr>
            <w:tcW w:type="dxa" w:w="4824"/>
          </w:tcPr>
          <w:p>
            <w:r>
              <w:rPr>
                <w:sz w:val="17"/>
              </w:rPr>
              <w:t>Outdoor Mesh Wi-Fi ……………………… $10.00</w:t>
            </w:r>
          </w:p>
        </w:tc>
        <w:tc>
          <w:tcPr>
            <w:tcW w:type="dxa" w:w="1656"/>
          </w:tcPr>
          <w:p>
            <w:r>
              <w:rPr>
                <w:sz w:val="17"/>
              </w:rPr>
              <w:t>EQ-MESH-OUT</w:t>
            </w:r>
          </w:p>
        </w:tc>
        <w:tc>
          <w:tcPr>
            <w:tcW w:type="dxa" w:w="3456"/>
          </w:tcPr>
          <w:p>
            <w:r>
              <w:rPr>
                <w:sz w:val="17"/>
              </w:rPr>
              <w:t>If mesh / managed Wi-Fi</w:t>
            </w:r>
          </w:p>
        </w:tc>
      </w:tr>
      <w:tr>
        <w:tc>
          <w:tcPr>
            <w:tcW w:type="dxa" w:w="720"/>
          </w:tcPr>
          <w:p>
            <w:r>
              <w:rPr>
                <w:sz w:val="17"/>
              </w:rPr>
              <w:t>4</w:t>
            </w:r>
          </w:p>
        </w:tc>
        <w:tc>
          <w:tcPr>
            <w:tcW w:type="dxa" w:w="4824"/>
          </w:tcPr>
          <w:p>
            <w:r>
              <w:rPr>
                <w:sz w:val="17"/>
              </w:rPr>
              <w:t>Home Phone (Unlimited) …………… $[obtain]</w:t>
            </w:r>
          </w:p>
        </w:tc>
        <w:tc>
          <w:tcPr>
            <w:tcW w:type="dxa" w:w="1656"/>
          </w:tcPr>
          <w:p>
            <w:r>
              <w:rPr>
                <w:sz w:val="17"/>
              </w:rPr>
              <w:t>VC-VOICE</w:t>
            </w:r>
          </w:p>
        </w:tc>
        <w:tc>
          <w:tcPr>
            <w:tcW w:type="dxa" w:w="3456"/>
          </w:tcPr>
          <w:p>
            <w:r>
              <w:rPr>
                <w:sz w:val="17"/>
              </w:rPr>
              <w:t>If voice add-on selected</w:t>
            </w:r>
          </w:p>
        </w:tc>
      </w:tr>
      <w:tr>
        <w:tc>
          <w:tcPr>
            <w:tcW w:type="dxa" w:w="720"/>
          </w:tcPr>
          <w:p>
            <w:r>
              <w:rPr>
                <w:sz w:val="17"/>
              </w:rPr>
              <w:t>5</w:t>
            </w:r>
          </w:p>
        </w:tc>
        <w:tc>
          <w:tcPr>
            <w:tcW w:type="dxa" w:w="4824"/>
          </w:tcPr>
          <w:p>
            <w:r>
              <w:rPr>
                <w:sz w:val="17"/>
              </w:rPr>
              <w:t>Federal Lifeline Credit ……………… -$9.25</w:t>
            </w:r>
          </w:p>
        </w:tc>
        <w:tc>
          <w:tcPr>
            <w:tcW w:type="dxa" w:w="1656"/>
          </w:tcPr>
          <w:p>
            <w:r>
              <w:rPr>
                <w:sz w:val="17"/>
              </w:rPr>
              <w:t>CR-LL-STD</w:t>
            </w:r>
          </w:p>
        </w:tc>
        <w:tc>
          <w:tcPr>
            <w:tcW w:type="dxa" w:w="3456"/>
          </w:tcPr>
          <w:p>
            <w:r>
              <w:rPr>
                <w:sz w:val="17"/>
              </w:rPr>
              <w:t>Only when NV-approved AND NLAD-enrolled</w:t>
            </w:r>
          </w:p>
        </w:tc>
      </w:tr>
      <w:tr>
        <w:tc>
          <w:tcPr>
            <w:tcW w:type="dxa" w:w="720"/>
          </w:tcPr>
          <w:p>
            <w:r>
              <w:rPr>
                <w:sz w:val="17"/>
              </w:rPr>
              <w:t>6</w:t>
            </w:r>
          </w:p>
        </w:tc>
        <w:tc>
          <w:tcPr>
            <w:tcW w:type="dxa" w:w="4824"/>
          </w:tcPr>
          <w:p>
            <w:r>
              <w:rPr>
                <w:sz w:val="17"/>
              </w:rPr>
              <w:t>Enhanced Tribal Lifeline Credit … -$25.00</w:t>
            </w:r>
          </w:p>
        </w:tc>
        <w:tc>
          <w:tcPr>
            <w:tcW w:type="dxa" w:w="1656"/>
          </w:tcPr>
          <w:p>
            <w:r>
              <w:rPr>
                <w:sz w:val="17"/>
              </w:rPr>
              <w:t>CR-LL-TRB</w:t>
            </w:r>
          </w:p>
        </w:tc>
        <w:tc>
          <w:tcPr>
            <w:tcW w:type="dxa" w:w="3456"/>
          </w:tcPr>
          <w:p>
            <w:r>
              <w:rPr>
                <w:sz w:val="17"/>
              </w:rPr>
              <w:t>ONLY for USAC-VERIFIED Tribal-lands addresses (see note)</w:t>
            </w:r>
          </w:p>
        </w:tc>
      </w:tr>
      <w:tr>
        <w:tc>
          <w:tcPr>
            <w:tcW w:type="dxa" w:w="720"/>
          </w:tcPr>
          <w:p>
            <w:r>
              <w:rPr>
                <w:sz w:val="17"/>
              </w:rPr>
              <w:t>7</w:t>
            </w:r>
          </w:p>
        </w:tc>
        <w:tc>
          <w:tcPr>
            <w:tcW w:type="dxa" w:w="4824"/>
          </w:tcPr>
          <w:p>
            <w:r>
              <w:rPr>
                <w:sz w:val="17"/>
              </w:rPr>
              <w:t>Lumbee Tribe Broadband Credit …… -$[x]</w:t>
            </w:r>
          </w:p>
        </w:tc>
        <w:tc>
          <w:tcPr>
            <w:tcW w:type="dxa" w:w="1656"/>
          </w:tcPr>
          <w:p>
            <w:r>
              <w:rPr>
                <w:sz w:val="17"/>
              </w:rPr>
              <w:t>DC-TRIBE</w:t>
            </w:r>
          </w:p>
        </w:tc>
        <w:tc>
          <w:tcPr>
            <w:tcW w:type="dxa" w:w="3456"/>
          </w:tcPr>
          <w:p>
            <w:r>
              <w:rPr>
                <w:sz w:val="17"/>
              </w:rPr>
              <w:t>If Tribe-funded discount applies</w:t>
            </w:r>
          </w:p>
        </w:tc>
      </w:tr>
      <w:tr>
        <w:tc>
          <w:tcPr>
            <w:tcW w:type="dxa" w:w="720"/>
          </w:tcPr>
          <w:p>
            <w:r>
              <w:rPr>
                <w:sz w:val="17"/>
              </w:rPr>
              <w:t>8</w:t>
            </w:r>
          </w:p>
        </w:tc>
        <w:tc>
          <w:tcPr>
            <w:tcW w:type="dxa" w:w="4824"/>
          </w:tcPr>
          <w:p>
            <w:r>
              <w:rPr>
                <w:sz w:val="17"/>
              </w:rPr>
              <w:t>RIVR Affordability Credit ……… -$[x]</w:t>
            </w:r>
          </w:p>
        </w:tc>
        <w:tc>
          <w:tcPr>
            <w:tcW w:type="dxa" w:w="1656"/>
          </w:tcPr>
          <w:p>
            <w:r>
              <w:rPr>
                <w:sz w:val="17"/>
              </w:rPr>
              <w:t>DC-RIVR</w:t>
            </w:r>
          </w:p>
        </w:tc>
        <w:tc>
          <w:tcPr>
            <w:tcW w:type="dxa" w:w="3456"/>
          </w:tcPr>
          <w:p>
            <w:r>
              <w:rPr>
                <w:sz w:val="17"/>
              </w:rPr>
              <w:t>If RIVR-funded discount applies</w:t>
            </w:r>
          </w:p>
        </w:tc>
      </w:tr>
      <w:tr>
        <w:tc>
          <w:tcPr>
            <w:tcW w:type="dxa" w:w="720"/>
          </w:tcPr>
          <w:p>
            <w:r>
              <w:rPr>
                <w:sz w:val="17"/>
              </w:rPr>
              <w:t>9</w:t>
            </w:r>
          </w:p>
        </w:tc>
        <w:tc>
          <w:tcPr>
            <w:tcW w:type="dxa" w:w="4824"/>
          </w:tcPr>
          <w:p>
            <w:r>
              <w:rPr>
                <w:sz w:val="17"/>
              </w:rPr>
              <w:t>NC 911 Service Charge …………………… $0.70</w:t>
            </w:r>
          </w:p>
        </w:tc>
        <w:tc>
          <w:tcPr>
            <w:tcW w:type="dxa" w:w="1656"/>
          </w:tcPr>
          <w:p>
            <w:r>
              <w:rPr>
                <w:sz w:val="17"/>
              </w:rPr>
              <w:t>(voice reg)</w:t>
            </w:r>
          </w:p>
        </w:tc>
        <w:tc>
          <w:tcPr>
            <w:tcW w:type="dxa" w:w="3456"/>
          </w:tcPr>
          <w:p>
            <w:r>
              <w:rPr>
                <w:sz w:val="17"/>
              </w:rPr>
              <w:t>Voice connections only (SR-9.8)</w:t>
            </w:r>
          </w:p>
        </w:tc>
      </w:tr>
      <w:tr>
        <w:tc>
          <w:tcPr>
            <w:tcW w:type="dxa" w:w="720"/>
          </w:tcPr>
          <w:p>
            <w:r>
              <w:rPr>
                <w:sz w:val="17"/>
              </w:rPr>
              <w:t>10</w:t>
            </w:r>
          </w:p>
        </w:tc>
        <w:tc>
          <w:tcPr>
            <w:tcW w:type="dxa" w:w="4824"/>
          </w:tcPr>
          <w:p>
            <w:r>
              <w:rPr>
                <w:sz w:val="17"/>
              </w:rPr>
              <w:t>Taxes &amp; Fees ……………………………… $[computed]</w:t>
            </w:r>
          </w:p>
        </w:tc>
        <w:tc>
          <w:tcPr>
            <w:tcW w:type="dxa" w:w="1656"/>
          </w:tcPr>
          <w:p>
            <w:r>
              <w:rPr>
                <w:sz w:val="17"/>
              </w:rPr>
              <w:t>(tax engine)</w:t>
            </w:r>
          </w:p>
        </w:tc>
        <w:tc>
          <w:tcPr>
            <w:tcW w:type="dxa" w:w="3456"/>
          </w:tcPr>
          <w:p>
            <w:r>
              <w:rPr>
                <w:sz w:val="17"/>
              </w:rPr>
              <w:t>Only on taxable components — NOT broadband (SR-9.1/9.9)</w:t>
            </w:r>
          </w:p>
        </w:tc>
      </w:tr>
    </w:tbl>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The Enhanced Tribal Lifeline Credit line (row 6) must appear ONLY on bills for addresses verified via the USAC Tribal Lands Verification Tool with NLAD "Lifeline Tribal Benefit?" = Yes. Under the current working assumption there are ZERO such addresses in the Lumbee service area, so this line should not appear on any bill until an address is verified (SR-4.4, SR-5.5, SR-5.6).</w:t>
            </w:r>
          </w:p>
        </w:tc>
      </w:tr>
    </w:tbl>
    <w:p>
      <w:pPr>
        <w:pStyle w:val="Heading1"/>
      </w:pPr>
      <w:r>
        <w:t>6. Effective-Date &amp; Partial-Month Logic</w:t>
      </w:r>
    </w:p>
    <w:p>
      <w:r>
        <w:rPr>
          <w:b w:val="0"/>
          <w:i w:val="0"/>
          <w:sz w:val="21"/>
        </w:rPr>
        <w:t>The Lifeline credit's NISC effective date must be tied to the NLAD enrollment date (which itself follows National Verifier approval). NISC must never apply a Lifeline credit for a period the subscriber was not NLAD-enrolled (SR-3.1, SR-3.2).</w:t>
      </w:r>
    </w:p>
    <w:p>
      <w:pPr>
        <w:pStyle w:val="Heading3"/>
      </w:pPr>
      <w:r>
        <w:t>6.1 Credit effective-date rules</w:t>
      </w:r>
    </w:p>
    <w:p>
      <w:pPr>
        <w:pStyle w:val="ListBullet"/>
      </w:pPr>
      <w:r>
        <w:t>Lifeline credit (CR-LL-STD / CR-LL-TRB) effective date = the NLAD enrollment effective date, which requires a prior approved National Verifier result (SR-3.1, SR-3.2). Enter the NLAD enrollment date into NISC as the credit start date [CONFIRM in NISC field name].</w:t>
      </w:r>
    </w:p>
    <w:p>
      <w:pPr>
        <w:pStyle w:val="ListBullet"/>
      </w:pPr>
      <w:r>
        <w:t>Enhanced Tribal credit (CR-LL-TRB) additionally requires the USAC address verification and NLAD Tribal flag = Yes as of the effective date (SR-4.4).</w:t>
      </w:r>
    </w:p>
    <w:p>
      <w:pPr>
        <w:pStyle w:val="ListBullet"/>
      </w:pPr>
      <w:r>
        <w:t>Plan charge (RC-SEN100) billing effective date = service activation / install completion date, independent of the credit date. A subscriber may be billed for service before the Lifeline credit begins if NLAD enrollment lags activation.</w:t>
      </w:r>
    </w:p>
    <w:p>
      <w:pPr>
        <w:pStyle w:val="Heading3"/>
      </w:pPr>
      <w:r>
        <w:t>6.2 Partial-month proration policy</w:t>
      </w:r>
    </w:p>
    <w:p>
      <w:pPr>
        <w:pStyle w:val="ListBullet"/>
      </w:pPr>
      <w:r>
        <w:t>Both the plan charge and the Lifeline credit prorate on the same basis so the pass-through stays whole. RIVR's standard proration convention applies [CONFIRM: daily proration vs. full-month]; whichever is chosen, apply it identically to charge and credit so the customer receives the full benefit for the covered days (SR-6.8).</w:t>
      </w:r>
    </w:p>
    <w:p>
      <w:pPr>
        <w:pStyle w:val="ListBullet"/>
      </w:pPr>
      <w:r>
        <w:t>If a subscriber is NLAD-enrolled mid-cycle, prorate the Lifeline credit from the NLAD effective date to cycle end. Do not grant a full-month credit for a partial month of enrollment.</w:t>
      </w:r>
    </w:p>
    <w:p>
      <w:pPr>
        <w:pStyle w:val="ListBullet"/>
      </w:pPr>
      <w:r>
        <w:t>If service starts mid-cycle but NLAD enrollment completes in a later cycle, the credit begins in the cycle covering the NLAD effective date — never backdated into the earlier cycle (see §7).</w:t>
      </w:r>
    </w:p>
    <w:p>
      <w:pPr>
        <w:pStyle w:val="Heading1"/>
      </w:pPr>
      <w:r>
        <w:t>7. Retroactive-Adjustment Restrictions</w:t>
      </w:r>
    </w:p>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NISC must NOT apply improper retroactive Lifeline credits or retroactive Lifeline billing. A Lifeline credit may only cover periods for which the subscriber was NV-approved and NLAD-enrolled. Fabricating a backdated credit to cover a pre-enrollment period would misstate the USAC claim.</w:t>
            </w:r>
          </w:p>
        </w:tc>
      </w:tr>
    </w:tbl>
    <w:p>
      <w:pPr>
        <w:pStyle w:val="ListBullet"/>
      </w:pPr>
      <w:r>
        <w:t>No retroactive Lifeline credit before the NLAD enrollment effective date. Period. The credit start date is bounded by NLAD (SR-3.2).</w:t>
      </w:r>
    </w:p>
    <w:p>
      <w:pPr>
        <w:pStyle w:val="ListBullet"/>
      </w:pPr>
      <w:r>
        <w:t>Subsidy reversals are FUTURE-DATED / prospective (see §8). When eligibility ends, stop the credit prospectively; do not claw back prior properly-earned credits.</w:t>
      </w:r>
    </w:p>
    <w:p>
      <w:pPr>
        <w:pStyle w:val="ListBullet"/>
      </w:pPr>
      <w:r>
        <w:t>Documented exceptions only: a genuine NISC posting error (e.g., a credit keyed to the wrong account or a data-entry typo) may be corrected to align NISC with the true NLAD status. Each correction requires: (a) written reason, (b) the NLAD record it aligns to, (c) Billing Manager + Finance approval, (d) an entry in the exception log. Corrections must move NISC toward NLAD truth — never away from it.</w:t>
      </w:r>
    </w:p>
    <w:p>
      <w:pPr>
        <w:pStyle w:val="ListBullet"/>
      </w:pPr>
      <w:r>
        <w:t>USAC over-claim / duplicate: if reconciliation (§10) shows a credit was claimed that should not have been, the correction is a claim adjustment / refund to USAC, not a customer clawback of a valid benefit.</w:t>
      </w:r>
    </w:p>
    <w:p>
      <w:pPr>
        <w:pStyle w:val="Heading1"/>
      </w:pPr>
      <w:r>
        <w:t>8. Credit Reversal &amp; Lost-Eligibility Procedures</w:t>
      </w:r>
    </w:p>
    <w:p>
      <w:r>
        <w:rPr>
          <w:b w:val="0"/>
          <w:i w:val="0"/>
          <w:sz w:val="21"/>
        </w:rPr>
        <w:t>When a subscriber loses eligibility, fails recertification, transfers their benefit, or requests de-enrollment, NISC must stop the Lifeline credit prospectively and the NLAD record must be updated within the required window.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fill="2E5496"/>
          </w:tcPr>
          <w:p>
            <w:r>
              <w:rPr>
                <w:b/>
                <w:color w:val="FFFFFF"/>
                <w:sz w:val="18"/>
              </w:rPr>
              <w:t>Trigger</w:t>
            </w:r>
          </w:p>
        </w:tc>
        <w:tc>
          <w:tcPr>
            <w:tcW w:type="dxa" w:w="2736"/>
            <w:shd w:val="clear" w:fill="2E5496"/>
          </w:tcPr>
          <w:p>
            <w:r>
              <w:rPr>
                <w:b/>
                <w:color w:val="FFFFFF"/>
                <w:sz w:val="18"/>
              </w:rPr>
              <w:t>NLAD action</w:t>
            </w:r>
          </w:p>
        </w:tc>
        <w:tc>
          <w:tcPr>
            <w:tcW w:type="dxa" w:w="2952"/>
            <w:shd w:val="clear" w:fill="2E5496"/>
          </w:tcPr>
          <w:p>
            <w:r>
              <w:rPr>
                <w:b/>
                <w:color w:val="FFFFFF"/>
                <w:sz w:val="18"/>
              </w:rPr>
              <w:t>NISC action</w:t>
            </w:r>
          </w:p>
        </w:tc>
        <w:tc>
          <w:tcPr>
            <w:tcW w:type="dxa" w:w="2664"/>
            <w:shd w:val="clear" w:fill="2E5496"/>
          </w:tcPr>
          <w:p>
            <w:r>
              <w:rPr>
                <w:b/>
                <w:color w:val="FFFFFF"/>
                <w:sz w:val="18"/>
              </w:rPr>
              <w:t>Timing / rule</w:t>
            </w:r>
          </w:p>
        </w:tc>
      </w:tr>
      <w:tr>
        <w:tc>
          <w:tcPr>
            <w:tcW w:type="dxa" w:w="2736"/>
          </w:tcPr>
          <w:p>
            <w:r>
              <w:rPr>
                <w:sz w:val="17"/>
              </w:rPr>
              <w:t>Failed annual recertification</w:t>
            </w:r>
          </w:p>
        </w:tc>
        <w:tc>
          <w:tcPr>
            <w:tcW w:type="dxa" w:w="2736"/>
          </w:tcPr>
          <w:p>
            <w:r>
              <w:rPr>
                <w:sz w:val="17"/>
              </w:rPr>
              <w:t>De-enroll after the 60-day cure window closes with no valid response</w:t>
            </w:r>
          </w:p>
        </w:tc>
        <w:tc>
          <w:tcPr>
            <w:tcW w:type="dxa" w:w="2952"/>
          </w:tcPr>
          <w:p>
            <w:r>
              <w:rPr>
                <w:sz w:val="17"/>
              </w:rPr>
              <w:t>End CR-LL-STD/CR-LL-TRB effective the de-enrollment date; keep prior credits</w:t>
            </w:r>
          </w:p>
        </w:tc>
        <w:tc>
          <w:tcPr>
            <w:tcW w:type="dxa" w:w="2664"/>
          </w:tcPr>
          <w:p>
            <w:r>
              <w:rPr>
                <w:sz w:val="17"/>
              </w:rPr>
              <w:t>Subscriber has 60 days to respond or is de-enrolled (SR-3.3, SR-3.5)</w:t>
            </w:r>
          </w:p>
        </w:tc>
      </w:tr>
      <w:tr>
        <w:tc>
          <w:tcPr>
            <w:tcW w:type="dxa" w:w="2736"/>
          </w:tcPr>
          <w:p>
            <w:r>
              <w:rPr>
                <w:sz w:val="17"/>
              </w:rPr>
              <w:t>Loss of program/income eligibility</w:t>
            </w:r>
          </w:p>
        </w:tc>
        <w:tc>
          <w:tcPr>
            <w:tcW w:type="dxa" w:w="2736"/>
          </w:tcPr>
          <w:p>
            <w:r>
              <w:rPr>
                <w:sz w:val="17"/>
              </w:rPr>
              <w:t>De-enroll for ineligibility</w:t>
            </w:r>
          </w:p>
        </w:tc>
        <w:tc>
          <w:tcPr>
            <w:tcW w:type="dxa" w:w="2952"/>
          </w:tcPr>
          <w:p>
            <w:r>
              <w:rPr>
                <w:sz w:val="17"/>
              </w:rPr>
              <w:t>Stop credit prospectively from de-enrollment date; continue billing plan at retail unless another discount applies</w:t>
            </w:r>
          </w:p>
        </w:tc>
        <w:tc>
          <w:tcPr>
            <w:tcW w:type="dxa" w:w="2664"/>
          </w:tcPr>
          <w:p>
            <w:r>
              <w:rPr>
                <w:sz w:val="17"/>
              </w:rPr>
              <w:t>Prospective only — no clawback of valid prior credits (§7)</w:t>
            </w:r>
          </w:p>
        </w:tc>
      </w:tr>
      <w:tr>
        <w:tc>
          <w:tcPr>
            <w:tcW w:type="dxa" w:w="2736"/>
          </w:tcPr>
          <w:p>
            <w:r>
              <w:rPr>
                <w:sz w:val="17"/>
              </w:rPr>
              <w:t>One-per-household / duplicate found</w:t>
            </w:r>
          </w:p>
        </w:tc>
        <w:tc>
          <w:tcPr>
            <w:tcW w:type="dxa" w:w="2736"/>
          </w:tcPr>
          <w:p>
            <w:r>
              <w:rPr>
                <w:sz w:val="17"/>
              </w:rPr>
              <w:t>De-enroll the duplicate</w:t>
            </w:r>
          </w:p>
        </w:tc>
        <w:tc>
          <w:tcPr>
            <w:tcW w:type="dxa" w:w="2952"/>
          </w:tcPr>
          <w:p>
            <w:r>
              <w:rPr>
                <w:sz w:val="17"/>
              </w:rPr>
              <w:t>Remove the improper credit; if it was claimed, adjust the USAC claim (§10)</w:t>
            </w:r>
          </w:p>
        </w:tc>
        <w:tc>
          <w:tcPr>
            <w:tcW w:type="dxa" w:w="2664"/>
          </w:tcPr>
          <w:p>
            <w:r>
              <w:rPr>
                <w:sz w:val="17"/>
              </w:rPr>
              <w:t>De-enrollment required (SR-3.5)</w:t>
            </w:r>
          </w:p>
        </w:tc>
      </w:tr>
      <w:tr>
        <w:tc>
          <w:tcPr>
            <w:tcW w:type="dxa" w:w="2736"/>
          </w:tcPr>
          <w:p>
            <w:r>
              <w:rPr>
                <w:sz w:val="17"/>
              </w:rPr>
              <w:t>Subscriber requests cancellation</w:t>
            </w:r>
          </w:p>
        </w:tc>
        <w:tc>
          <w:tcPr>
            <w:tcW w:type="dxa" w:w="2736"/>
          </w:tcPr>
          <w:p>
            <w:r>
              <w:rPr>
                <w:sz w:val="17"/>
              </w:rPr>
              <w:t>De-enroll on request</w:t>
            </w:r>
          </w:p>
        </w:tc>
        <w:tc>
          <w:tcPr>
            <w:tcW w:type="dxa" w:w="2952"/>
          </w:tcPr>
          <w:p>
            <w:r>
              <w:rPr>
                <w:sz w:val="17"/>
              </w:rPr>
              <w:t>End credit and (if cancelling service) close the plan; final-bill proration per §6</w:t>
            </w:r>
          </w:p>
        </w:tc>
        <w:tc>
          <w:tcPr>
            <w:tcW w:type="dxa" w:w="2664"/>
          </w:tcPr>
          <w:p>
            <w:r>
              <w:rPr>
                <w:sz w:val="17"/>
              </w:rPr>
              <w:t>De-enrollment on subscriber request (SR-3.5)</w:t>
            </w:r>
          </w:p>
        </w:tc>
      </w:tr>
      <w:tr>
        <w:tc>
          <w:tcPr>
            <w:tcW w:type="dxa" w:w="2736"/>
          </w:tcPr>
          <w:p>
            <w:r>
              <w:rPr>
                <w:sz w:val="17"/>
              </w:rPr>
              <w:t>Benefit transfer to another provider</w:t>
            </w:r>
          </w:p>
        </w:tc>
        <w:tc>
          <w:tcPr>
            <w:tcW w:type="dxa" w:w="2736"/>
          </w:tcPr>
          <w:p>
            <w:r>
              <w:rPr>
                <w:sz w:val="17"/>
              </w:rPr>
              <w:t>Consent-based benefit transfer in NLAD moves the subscriber out</w:t>
            </w:r>
          </w:p>
        </w:tc>
        <w:tc>
          <w:tcPr>
            <w:tcW w:type="dxa" w:w="2952"/>
          </w:tcPr>
          <w:p>
            <w:r>
              <w:rPr>
                <w:sz w:val="17"/>
              </w:rPr>
              <w:t>End RIVR's credit as of the transfer date; the gaining provider claims thereafter</w:t>
            </w:r>
          </w:p>
        </w:tc>
        <w:tc>
          <w:tcPr>
            <w:tcW w:type="dxa" w:w="2664"/>
          </w:tcPr>
          <w:p>
            <w:r>
              <w:rPr>
                <w:sz w:val="17"/>
              </w:rPr>
              <w:t>One benefit per subscriber — no double claim (SR-3.6)</w:t>
            </w:r>
          </w:p>
        </w:tc>
      </w:tr>
      <w:tr>
        <w:tc>
          <w:tcPr>
            <w:tcW w:type="dxa" w:w="2736"/>
          </w:tcPr>
          <w:p>
            <w:r>
              <w:rPr>
                <w:sz w:val="17"/>
              </w:rPr>
              <w:t>Enhanced-Tribal flag becomes invalid (address change off Tribal lands / verification lapses)</w:t>
            </w:r>
          </w:p>
        </w:tc>
        <w:tc>
          <w:tcPr>
            <w:tcW w:type="dxa" w:w="2736"/>
          </w:tcPr>
          <w:p>
            <w:r>
              <w:rPr>
                <w:sz w:val="17"/>
              </w:rPr>
              <w:t>Update NLAD Tribal flag to No within 10 business days of the change</w:t>
            </w:r>
          </w:p>
        </w:tc>
        <w:tc>
          <w:tcPr>
            <w:tcW w:type="dxa" w:w="2952"/>
          </w:tcPr>
          <w:p>
            <w:r>
              <w:rPr>
                <w:sz w:val="17"/>
              </w:rPr>
              <w:t>End CR-LL-TRB (keep CR-LL-STD if still eligible); stop the -$25 line prospectively</w:t>
            </w:r>
          </w:p>
        </w:tc>
        <w:tc>
          <w:tcPr>
            <w:tcW w:type="dxa" w:w="2664"/>
          </w:tcPr>
          <w:p>
            <w:r>
              <w:rPr>
                <w:sz w:val="17"/>
              </w:rPr>
              <w:t>Update NLAD within 10 business days of change (SR-3.2, SR-4.4)</w:t>
            </w:r>
          </w:p>
        </w:tc>
      </w:tr>
      <w:tr>
        <w:tc>
          <w:tcPr>
            <w:tcW w:type="dxa" w:w="2736"/>
          </w:tcPr>
          <w:p>
            <w:r>
              <w:rPr>
                <w:sz w:val="17"/>
              </w:rPr>
              <w:t>Non-usage (only if service has $0 customer charge)</w:t>
            </w:r>
          </w:p>
        </w:tc>
        <w:tc>
          <w:tcPr>
            <w:tcW w:type="dxa" w:w="2736"/>
          </w:tcPr>
          <w:p>
            <w:r>
              <w:rPr>
                <w:sz w:val="17"/>
              </w:rPr>
              <w:t>De-enroll after 30-day non-use + 15-day cure</w:t>
            </w:r>
          </w:p>
        </w:tc>
        <w:tc>
          <w:tcPr>
            <w:tcW w:type="dxa" w:w="2952"/>
          </w:tcPr>
          <w:p>
            <w:r>
              <w:rPr>
                <w:sz w:val="17"/>
              </w:rPr>
              <w:t>N/A if Senior plan carries a &gt;$0 charge — [CONFIRM with counsel given the ~$10 charge]</w:t>
            </w:r>
          </w:p>
        </w:tc>
        <w:tc>
          <w:tcPr>
            <w:tcW w:type="dxa" w:w="2664"/>
          </w:tcPr>
          <w:p>
            <w:r>
              <w:rPr>
                <w:sz w:val="17"/>
              </w:rPr>
              <w:t>Non-usage rule generally inapplicable when customer pays a fee (SR-3.4)</w:t>
            </w:r>
          </w:p>
        </w:tc>
      </w:tr>
    </w:tbl>
    <w:p>
      <w:r>
        <w:rPr>
          <w:b w:val="0"/>
          <w:i w:val="0"/>
          <w:sz w:val="19"/>
        </w:rPr>
        <w:t>De-enrollment handling in NISC: the credit-end date must equal the NLAD de-enrollment date; NISC must not continue a credit past de-enrollment (which would create an unsupported USAC claim). Benefit-transfer handling: on a consent-based transfer, RIVR ceases claiming for that subscriber immediately — the gaining provider owns the benefit going forward (SR-3.6).</w:t>
      </w:r>
    </w:p>
    <w:p>
      <w:pPr>
        <w:pStyle w:val="Heading1"/>
      </w:pPr>
      <w:r>
        <w:t>9. Standing Exception Reports</w:t>
      </w:r>
    </w:p>
    <w:p>
      <w:r>
        <w:rPr>
          <w:b w:val="0"/>
          <w:i w:val="0"/>
          <w:sz w:val="21"/>
        </w:rPr>
        <w:t>These reports run at least monthly (several daily/weekly) to surface mismatches between NISC, NLAD, and LCS before the LCS claim is certified. Each exception routes to a named owner for clearance. Report/field names are illustrative [CONFIRM in NISC].</w:t>
      </w:r>
    </w:p>
    <w:tbl>
      <w:tblPr>
        <w:tblStyle w:val="TableGrid"/>
        <w:tblW w:type="auto" w:w="0"/>
        <w:jc w:val="center"/>
        <w:tblLook w:firstColumn="1" w:firstRow="1" w:lastColumn="0" w:lastRow="0" w:noHBand="0" w:noVBand="1" w:val="04A0"/>
      </w:tblPr>
      <w:tblGrid>
        <w:gridCol w:w="2880"/>
        <w:gridCol w:w="2880"/>
        <w:gridCol w:w="2880"/>
      </w:tblGrid>
      <w:tr>
        <w:tc>
          <w:tcPr>
            <w:tcW w:type="dxa" w:w="3096"/>
            <w:shd w:val="clear" w:fill="2E5496"/>
          </w:tcPr>
          <w:p>
            <w:r>
              <w:rPr>
                <w:b/>
                <w:color w:val="FFFFFF"/>
                <w:sz w:val="18"/>
              </w:rPr>
              <w:t>Exception report</w:t>
            </w:r>
          </w:p>
        </w:tc>
        <w:tc>
          <w:tcPr>
            <w:tcW w:type="dxa" w:w="5112"/>
            <w:shd w:val="clear" w:fill="2E5496"/>
          </w:tcPr>
          <w:p>
            <w:r>
              <w:rPr>
                <w:b/>
                <w:color w:val="FFFFFF"/>
                <w:sz w:val="18"/>
              </w:rPr>
              <w:t>What it catches</w:t>
            </w:r>
          </w:p>
        </w:tc>
        <w:tc>
          <w:tcPr>
            <w:tcW w:type="dxa" w:w="2880"/>
            <w:shd w:val="clear" w:fill="2E5496"/>
          </w:tcPr>
          <w:p>
            <w:r>
              <w:rPr>
                <w:b/>
                <w:color w:val="FFFFFF"/>
                <w:sz w:val="18"/>
              </w:rPr>
              <w:t>Owner / action</w:t>
            </w:r>
          </w:p>
        </w:tc>
      </w:tr>
      <w:tr>
        <w:tc>
          <w:tcPr>
            <w:tcW w:type="dxa" w:w="3096"/>
          </w:tcPr>
          <w:p>
            <w:r>
              <w:rPr>
                <w:sz w:val="17"/>
              </w:rPr>
              <w:t>Lifeline credit applied but not in NLAD</w:t>
            </w:r>
          </w:p>
        </w:tc>
        <w:tc>
          <w:tcPr>
            <w:tcW w:type="dxa" w:w="5112"/>
          </w:tcPr>
          <w:p>
            <w:r>
              <w:rPr>
                <w:sz w:val="17"/>
              </w:rPr>
              <w:t>NISC shows CR-LL-STD/TRB but no matching NLAD enrollment → unsupported credit / potential improper claim</w:t>
            </w:r>
          </w:p>
        </w:tc>
        <w:tc>
          <w:tcPr>
            <w:tcW w:type="dxa" w:w="2880"/>
          </w:tcPr>
          <w:p>
            <w:r>
              <w:rPr>
                <w:sz w:val="17"/>
              </w:rPr>
              <w:t>Billing Manager — remove credit or complete NLAD enrollment before claiming</w:t>
            </w:r>
          </w:p>
        </w:tc>
      </w:tr>
      <w:tr>
        <w:tc>
          <w:tcPr>
            <w:tcW w:type="dxa" w:w="3096"/>
          </w:tcPr>
          <w:p>
            <w:r>
              <w:rPr>
                <w:sz w:val="17"/>
              </w:rPr>
              <w:t>NLAD-enrolled but no NISC credit</w:t>
            </w:r>
          </w:p>
        </w:tc>
        <w:tc>
          <w:tcPr>
            <w:tcW w:type="dxa" w:w="5112"/>
          </w:tcPr>
          <w:p>
            <w:r>
              <w:rPr>
                <w:sz w:val="17"/>
              </w:rPr>
              <w:t>Subscriber is NLAD-enrolled (RIVR is claiming or will claim) but the customer's bill shows no Lifeline credit → pass-through failure (SR-6.8)</w:t>
            </w:r>
          </w:p>
        </w:tc>
        <w:tc>
          <w:tcPr>
            <w:tcW w:type="dxa" w:w="2880"/>
          </w:tcPr>
          <w:p>
            <w:r>
              <w:rPr>
                <w:sz w:val="17"/>
              </w:rPr>
              <w:t>Billing Manager — apply the credit; the customer is owed the full benefit</w:t>
            </w:r>
          </w:p>
        </w:tc>
      </w:tr>
      <w:tr>
        <w:tc>
          <w:tcPr>
            <w:tcW w:type="dxa" w:w="3096"/>
          </w:tcPr>
          <w:p>
            <w:r>
              <w:rPr>
                <w:sz w:val="17"/>
              </w:rPr>
              <w:t>Enhanced Tribal credit on unverified address</w:t>
            </w:r>
          </w:p>
        </w:tc>
        <w:tc>
          <w:tcPr>
            <w:tcW w:type="dxa" w:w="5112"/>
          </w:tcPr>
          <w:p>
            <w:r>
              <w:rPr>
                <w:sz w:val="17"/>
              </w:rPr>
              <w:t>CR-LL-TRB present where the address is NOT USAC-verified / NLAD Tribal flag ≠ Yes (SR-4.4)</w:t>
            </w:r>
          </w:p>
        </w:tc>
        <w:tc>
          <w:tcPr>
            <w:tcW w:type="dxa" w:w="2880"/>
          </w:tcPr>
          <w:p>
            <w:r>
              <w:rPr>
                <w:sz w:val="17"/>
              </w:rPr>
              <w:t>Compliance — remove -$25 immediately; adjust claim if already claimed</w:t>
            </w:r>
          </w:p>
        </w:tc>
      </w:tr>
      <w:tr>
        <w:tc>
          <w:tcPr>
            <w:tcW w:type="dxa" w:w="3096"/>
          </w:tcPr>
          <w:p>
            <w:r>
              <w:rPr>
                <w:sz w:val="17"/>
              </w:rPr>
              <w:t>Credit greater than retail</w:t>
            </w:r>
          </w:p>
        </w:tc>
        <w:tc>
          <w:tcPr>
            <w:tcW w:type="dxa" w:w="5112"/>
          </w:tcPr>
          <w:p>
            <w:r>
              <w:rPr>
                <w:sz w:val="17"/>
              </w:rPr>
              <w:t>Total credits exceed the plan retail (credit &gt; charge), which can signal misconfiguration or over-subsidy</w:t>
            </w:r>
          </w:p>
        </w:tc>
        <w:tc>
          <w:tcPr>
            <w:tcW w:type="dxa" w:w="2880"/>
          </w:tcPr>
          <w:p>
            <w:r>
              <w:rPr>
                <w:sz w:val="17"/>
              </w:rPr>
              <w:t>Finance — review; a Lifeline credit should not exceed the amount of the supported charge</w:t>
            </w:r>
          </w:p>
        </w:tc>
      </w:tr>
      <w:tr>
        <w:tc>
          <w:tcPr>
            <w:tcW w:type="dxa" w:w="3096"/>
          </w:tcPr>
          <w:p>
            <w:r>
              <w:rPr>
                <w:sz w:val="17"/>
              </w:rPr>
              <w:t>Duplicate household at address</w:t>
            </w:r>
          </w:p>
        </w:tc>
        <w:tc>
          <w:tcPr>
            <w:tcW w:type="dxa" w:w="5112"/>
          </w:tcPr>
          <w:p>
            <w:r>
              <w:rPr>
                <w:sz w:val="17"/>
              </w:rPr>
              <w:t>More than one Lifeline benefit at a single address without a completed one-per-household worksheet (SR-1.8)</w:t>
            </w:r>
          </w:p>
        </w:tc>
        <w:tc>
          <w:tcPr>
            <w:tcW w:type="dxa" w:w="2880"/>
          </w:tcPr>
          <w:p>
            <w:r>
              <w:rPr>
                <w:sz w:val="17"/>
              </w:rPr>
              <w:t>Compliance — resolve duplicate; de-enroll the improper benefit</w:t>
            </w:r>
          </w:p>
        </w:tc>
      </w:tr>
      <w:tr>
        <w:tc>
          <w:tcPr>
            <w:tcW w:type="dxa" w:w="3096"/>
          </w:tcPr>
          <w:p>
            <w:r>
              <w:rPr>
                <w:sz w:val="17"/>
              </w:rPr>
              <w:t>Credit continued past de-enrollment</w:t>
            </w:r>
          </w:p>
        </w:tc>
        <w:tc>
          <w:tcPr>
            <w:tcW w:type="dxa" w:w="5112"/>
          </w:tcPr>
          <w:p>
            <w:r>
              <w:rPr>
                <w:sz w:val="17"/>
              </w:rPr>
              <w:t>CR-LL still active in NISC after NLAD de-enrollment date</w:t>
            </w:r>
          </w:p>
        </w:tc>
        <w:tc>
          <w:tcPr>
            <w:tcW w:type="dxa" w:w="2880"/>
          </w:tcPr>
          <w:p>
            <w:r>
              <w:rPr>
                <w:sz w:val="17"/>
              </w:rPr>
              <w:t>Billing Manager — end credit as of de-enrollment date (§8)</w:t>
            </w:r>
          </w:p>
        </w:tc>
      </w:tr>
      <w:tr>
        <w:tc>
          <w:tcPr>
            <w:tcW w:type="dxa" w:w="3096"/>
          </w:tcPr>
          <w:p>
            <w:r>
              <w:rPr>
                <w:sz w:val="17"/>
              </w:rPr>
              <w:t>Recert-due within 60 days / lapsed</w:t>
            </w:r>
          </w:p>
        </w:tc>
        <w:tc>
          <w:tcPr>
            <w:tcW w:type="dxa" w:w="5112"/>
          </w:tcPr>
          <w:p>
            <w:r>
              <w:rPr>
                <w:sz w:val="17"/>
              </w:rPr>
              <w:t>Subscribers approaching or past the recertification response window (SR-3.3)</w:t>
            </w:r>
          </w:p>
        </w:tc>
        <w:tc>
          <w:tcPr>
            <w:tcW w:type="dxa" w:w="2880"/>
          </w:tcPr>
          <w:p>
            <w:r>
              <w:rPr>
                <w:sz w:val="17"/>
              </w:rPr>
              <w:t>Billing/Compliance — outreach; prepare to de-enroll uncured cases</w:t>
            </w:r>
          </w:p>
        </w:tc>
      </w:tr>
      <w:tr>
        <w:tc>
          <w:tcPr>
            <w:tcW w:type="dxa" w:w="3096"/>
          </w:tcPr>
          <w:p>
            <w:r>
              <w:rPr>
                <w:sz w:val="17"/>
              </w:rPr>
              <w:t>Credit amount ≠ rule amount</w:t>
            </w:r>
          </w:p>
        </w:tc>
        <w:tc>
          <w:tcPr>
            <w:tcW w:type="dxa" w:w="5112"/>
          </w:tcPr>
          <w:p>
            <w:r>
              <w:rPr>
                <w:sz w:val="17"/>
              </w:rPr>
              <w:t>CR-LL-STD ≠ -$9.25 or CR-LL-TRB ≠ -$25.00 (data-entry drift)</w:t>
            </w:r>
          </w:p>
        </w:tc>
        <w:tc>
          <w:tcPr>
            <w:tcW w:type="dxa" w:w="2880"/>
          </w:tcPr>
          <w:p>
            <w:r>
              <w:rPr>
                <w:sz w:val="17"/>
              </w:rPr>
              <w:t>Billing Manager — correct to the fixed federal amount (SR-1.1/1.3)</w:t>
            </w:r>
          </w:p>
        </w:tc>
      </w:tr>
      <w:tr>
        <w:tc>
          <w:tcPr>
            <w:tcW w:type="dxa" w:w="3096"/>
          </w:tcPr>
          <w:p>
            <w:r>
              <w:rPr>
                <w:sz w:val="17"/>
              </w:rPr>
              <w:t>NLAD update overdue (&gt;10 business days)</w:t>
            </w:r>
          </w:p>
        </w:tc>
        <w:tc>
          <w:tcPr>
            <w:tcW w:type="dxa" w:w="5112"/>
          </w:tcPr>
          <w:p>
            <w:r>
              <w:rPr>
                <w:sz w:val="17"/>
              </w:rPr>
              <w:t>A subscriber info change not reflected in NLAD within the 10-business-day window (SR-3.2)</w:t>
            </w:r>
          </w:p>
        </w:tc>
        <w:tc>
          <w:tcPr>
            <w:tcW w:type="dxa" w:w="2880"/>
          </w:tcPr>
          <w:p>
            <w:r>
              <w:rPr>
                <w:sz w:val="17"/>
              </w:rPr>
              <w:t>Billing Manager — update NLAD</w:t>
            </w:r>
          </w:p>
        </w:tc>
      </w:tr>
    </w:tbl>
    <w:p>
      <w:pPr>
        <w:pStyle w:val="Heading1"/>
      </w:pPr>
      <w:r>
        <w:t>10. Monthly Reconciliation &amp; Three-Way Reconciliation</w:t>
      </w:r>
    </w:p>
    <w:p>
      <w:r>
        <w:rPr>
          <w:b w:val="0"/>
          <w:i w:val="0"/>
          <w:sz w:val="21"/>
        </w:rPr>
        <w:t>The monthly close proves that what NISC bills, what NLAD holds, and what LCS claims all agree — so USAC is reimbursed for exactly the benefits passed through to customers, and Tribe- and RIVR-funded amounts settle to the correct source.</w:t>
      </w:r>
    </w:p>
    <w:p>
      <w:pPr>
        <w:pStyle w:val="Heading2"/>
      </w:pPr>
      <w:r>
        <w:t>10.1 Three-way reconciliation (NISC ↔ NLAD ↔ LCS)</w:t>
      </w:r>
    </w:p>
    <w:p>
      <w:r>
        <w:rPr>
          <w:b w:val="0"/>
          <w:i w:val="0"/>
          <w:sz w:val="21"/>
        </w:rPr>
        <w:t>For every active Lifeline subscriber, the three systems must reconcile: the credit APPLIED in NISC (customer bill) ↔ the subscriber ENROLLED in NLAD ↔ the benefit CLAIMED in LCS. Any row that does not match three ways is an exception routed for correction BEFORE the 497 Officer certifies the claim (SR-6.8).</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800"/>
            <w:shd w:val="clear" w:fill="2E5496"/>
          </w:tcPr>
          <w:p>
            <w:r>
              <w:rPr>
                <w:b/>
                <w:color w:val="FFFFFF"/>
                <w:sz w:val="18"/>
              </w:rPr>
              <w:t>Subscriber (acct)</w:t>
            </w:r>
          </w:p>
        </w:tc>
        <w:tc>
          <w:tcPr>
            <w:tcW w:type="dxa" w:w="1512"/>
            <w:shd w:val="clear" w:fill="2E5496"/>
          </w:tcPr>
          <w:p>
            <w:r>
              <w:rPr>
                <w:b/>
                <w:color w:val="FFFFFF"/>
                <w:sz w:val="18"/>
              </w:rPr>
              <w:t>NISC credit applied</w:t>
            </w:r>
          </w:p>
        </w:tc>
        <w:tc>
          <w:tcPr>
            <w:tcW w:type="dxa" w:w="1368"/>
            <w:shd w:val="clear" w:fill="2E5496"/>
          </w:tcPr>
          <w:p>
            <w:r>
              <w:rPr>
                <w:b/>
                <w:color w:val="FFFFFF"/>
                <w:sz w:val="18"/>
              </w:rPr>
              <w:t>NLAD enrolled?</w:t>
            </w:r>
          </w:p>
        </w:tc>
        <w:tc>
          <w:tcPr>
            <w:tcW w:type="dxa" w:w="1368"/>
            <w:shd w:val="clear" w:fill="2E5496"/>
          </w:tcPr>
          <w:p>
            <w:r>
              <w:rPr>
                <w:b/>
                <w:color w:val="FFFFFF"/>
                <w:sz w:val="18"/>
              </w:rPr>
              <w:t>LCS claimed?</w:t>
            </w:r>
          </w:p>
        </w:tc>
        <w:tc>
          <w:tcPr>
            <w:tcW w:type="dxa" w:w="1584"/>
            <w:shd w:val="clear" w:fill="2E5496"/>
          </w:tcPr>
          <w:p>
            <w:r>
              <w:rPr>
                <w:b/>
                <w:color w:val="FFFFFF"/>
                <w:sz w:val="18"/>
              </w:rPr>
              <w:t>Benefit type</w:t>
            </w:r>
          </w:p>
        </w:tc>
        <w:tc>
          <w:tcPr>
            <w:tcW w:type="dxa" w:w="1224"/>
            <w:shd w:val="clear" w:fill="2E5496"/>
          </w:tcPr>
          <w:p>
            <w:r>
              <w:rPr>
                <w:b/>
                <w:color w:val="FFFFFF"/>
                <w:sz w:val="18"/>
              </w:rPr>
              <w:t>Match (3-way)?</w:t>
            </w:r>
          </w:p>
        </w:tc>
        <w:tc>
          <w:tcPr>
            <w:tcW w:type="dxa" w:w="2232"/>
            <w:shd w:val="clear" w:fill="2E5496"/>
          </w:tcPr>
          <w:p>
            <w:r>
              <w:rPr>
                <w:b/>
                <w:color w:val="FFFFFF"/>
                <w:sz w:val="18"/>
              </w:rPr>
              <w:t>Exception / action</w:t>
            </w:r>
          </w:p>
        </w:tc>
      </w:tr>
      <w:tr>
        <w:tc>
          <w:tcPr>
            <w:tcW w:type="dxa" w:w="1800"/>
          </w:tcPr>
          <w:p>
            <w:r>
              <w:rPr>
                <w:sz w:val="17"/>
              </w:rPr>
              <w:t>1001 — J. Doe</w:t>
            </w:r>
          </w:p>
        </w:tc>
        <w:tc>
          <w:tcPr>
            <w:tcW w:type="dxa" w:w="1512"/>
          </w:tcPr>
          <w:p>
            <w:r>
              <w:rPr>
                <w:sz w:val="17"/>
              </w:rPr>
              <w:t>-$9.25</w:t>
            </w:r>
          </w:p>
        </w:tc>
        <w:tc>
          <w:tcPr>
            <w:tcW w:type="dxa" w:w="1368"/>
          </w:tcPr>
          <w:p>
            <w:r>
              <w:rPr>
                <w:sz w:val="17"/>
              </w:rPr>
              <w:t>Yes</w:t>
            </w:r>
          </w:p>
        </w:tc>
        <w:tc>
          <w:tcPr>
            <w:tcW w:type="dxa" w:w="1368"/>
          </w:tcPr>
          <w:p>
            <w:r>
              <w:rPr>
                <w:sz w:val="17"/>
              </w:rPr>
              <w:t>Yes</w:t>
            </w:r>
          </w:p>
        </w:tc>
        <w:tc>
          <w:tcPr>
            <w:tcW w:type="dxa" w:w="1584"/>
          </w:tcPr>
          <w:p>
            <w:r>
              <w:rPr>
                <w:sz w:val="17"/>
              </w:rPr>
              <w:t>Standard</w:t>
            </w:r>
          </w:p>
        </w:tc>
        <w:tc>
          <w:tcPr>
            <w:tcW w:type="dxa" w:w="1224"/>
          </w:tcPr>
          <w:p>
            <w:r>
              <w:rPr>
                <w:sz w:val="17"/>
              </w:rPr>
              <w:t>MATCH</w:t>
            </w:r>
          </w:p>
        </w:tc>
        <w:tc>
          <w:tcPr>
            <w:tcW w:type="dxa" w:w="2232"/>
          </w:tcPr>
          <w:p>
            <w:r>
              <w:rPr>
                <w:sz w:val="17"/>
              </w:rPr>
              <w:t>None</w:t>
            </w:r>
          </w:p>
        </w:tc>
      </w:tr>
      <w:tr>
        <w:tc>
          <w:tcPr>
            <w:tcW w:type="dxa" w:w="1800"/>
          </w:tcPr>
          <w:p>
            <w:r>
              <w:rPr>
                <w:sz w:val="17"/>
              </w:rPr>
              <w:t>1002 — M. Smith</w:t>
            </w:r>
          </w:p>
        </w:tc>
        <w:tc>
          <w:tcPr>
            <w:tcW w:type="dxa" w:w="1512"/>
          </w:tcPr>
          <w:p>
            <w:r>
              <w:rPr>
                <w:sz w:val="17"/>
              </w:rPr>
              <w:t>-$9.25</w:t>
            </w:r>
          </w:p>
        </w:tc>
        <w:tc>
          <w:tcPr>
            <w:tcW w:type="dxa" w:w="1368"/>
          </w:tcPr>
          <w:p>
            <w:r>
              <w:rPr>
                <w:sz w:val="17"/>
              </w:rPr>
              <w:t>Yes</w:t>
            </w:r>
          </w:p>
        </w:tc>
        <w:tc>
          <w:tcPr>
            <w:tcW w:type="dxa" w:w="1368"/>
          </w:tcPr>
          <w:p>
            <w:r>
              <w:rPr>
                <w:sz w:val="17"/>
              </w:rPr>
              <w:t>No</w:t>
            </w:r>
          </w:p>
        </w:tc>
        <w:tc>
          <w:tcPr>
            <w:tcW w:type="dxa" w:w="1584"/>
          </w:tcPr>
          <w:p>
            <w:r>
              <w:rPr>
                <w:sz w:val="17"/>
              </w:rPr>
              <w:t>Standard</w:t>
            </w:r>
          </w:p>
        </w:tc>
        <w:tc>
          <w:tcPr>
            <w:tcW w:type="dxa" w:w="1224"/>
          </w:tcPr>
          <w:p>
            <w:r>
              <w:rPr>
                <w:sz w:val="17"/>
              </w:rPr>
              <w:t>NO</w:t>
            </w:r>
          </w:p>
        </w:tc>
        <w:tc>
          <w:tcPr>
            <w:tcW w:type="dxa" w:w="2232"/>
          </w:tcPr>
          <w:p>
            <w:r>
              <w:rPr>
                <w:sz w:val="17"/>
              </w:rPr>
              <w:t>In NLAD but not claimed — add to LCS claim before certification</w:t>
            </w:r>
          </w:p>
        </w:tc>
      </w:tr>
      <w:tr>
        <w:tc>
          <w:tcPr>
            <w:tcW w:type="dxa" w:w="1800"/>
          </w:tcPr>
          <w:p>
            <w:r>
              <w:rPr>
                <w:sz w:val="17"/>
              </w:rPr>
              <w:t>1003 — A. Locklear</w:t>
            </w:r>
          </w:p>
        </w:tc>
        <w:tc>
          <w:tcPr>
            <w:tcW w:type="dxa" w:w="1512"/>
          </w:tcPr>
          <w:p>
            <w:r>
              <w:rPr>
                <w:sz w:val="17"/>
              </w:rPr>
              <w:t>-$9.25</w:t>
            </w:r>
          </w:p>
        </w:tc>
        <w:tc>
          <w:tcPr>
            <w:tcW w:type="dxa" w:w="1368"/>
          </w:tcPr>
          <w:p>
            <w:r>
              <w:rPr>
                <w:sz w:val="17"/>
              </w:rPr>
              <w:t>No</w:t>
            </w:r>
          </w:p>
        </w:tc>
        <w:tc>
          <w:tcPr>
            <w:tcW w:type="dxa" w:w="1368"/>
          </w:tcPr>
          <w:p>
            <w:r>
              <w:rPr>
                <w:sz w:val="17"/>
              </w:rPr>
              <w:t>No</w:t>
            </w:r>
          </w:p>
        </w:tc>
        <w:tc>
          <w:tcPr>
            <w:tcW w:type="dxa" w:w="1584"/>
          </w:tcPr>
          <w:p>
            <w:r>
              <w:rPr>
                <w:sz w:val="17"/>
              </w:rPr>
              <w:t>Standard</w:t>
            </w:r>
          </w:p>
        </w:tc>
        <w:tc>
          <w:tcPr>
            <w:tcW w:type="dxa" w:w="1224"/>
          </w:tcPr>
          <w:p>
            <w:r>
              <w:rPr>
                <w:sz w:val="17"/>
              </w:rPr>
              <w:t>NO</w:t>
            </w:r>
          </w:p>
        </w:tc>
        <w:tc>
          <w:tcPr>
            <w:tcW w:type="dxa" w:w="2232"/>
          </w:tcPr>
          <w:p>
            <w:r>
              <w:rPr>
                <w:sz w:val="17"/>
              </w:rPr>
              <w:t>Credit applied, not in NLAD — remove credit OR complete NLAD enrollment (§9)</w:t>
            </w:r>
          </w:p>
        </w:tc>
      </w:tr>
      <w:tr>
        <w:tc>
          <w:tcPr>
            <w:tcW w:type="dxa" w:w="1800"/>
          </w:tcPr>
          <w:p>
            <w:r>
              <w:rPr>
                <w:sz w:val="17"/>
              </w:rPr>
              <w:t>1004 — R. Oxendine</w:t>
            </w:r>
          </w:p>
        </w:tc>
        <w:tc>
          <w:tcPr>
            <w:tcW w:type="dxa" w:w="1512"/>
          </w:tcPr>
          <w:p>
            <w:r>
              <w:rPr>
                <w:sz w:val="17"/>
              </w:rPr>
              <w:t>-$34.25</w:t>
            </w:r>
          </w:p>
        </w:tc>
        <w:tc>
          <w:tcPr>
            <w:tcW w:type="dxa" w:w="1368"/>
          </w:tcPr>
          <w:p>
            <w:r>
              <w:rPr>
                <w:sz w:val="17"/>
              </w:rPr>
              <w:t>Yes (Tribal=Yes)</w:t>
            </w:r>
          </w:p>
        </w:tc>
        <w:tc>
          <w:tcPr>
            <w:tcW w:type="dxa" w:w="1368"/>
          </w:tcPr>
          <w:p>
            <w:r>
              <w:rPr>
                <w:sz w:val="17"/>
              </w:rPr>
              <w:t>Yes (Tribal)</w:t>
            </w:r>
          </w:p>
        </w:tc>
        <w:tc>
          <w:tcPr>
            <w:tcW w:type="dxa" w:w="1584"/>
          </w:tcPr>
          <w:p>
            <w:r>
              <w:rPr>
                <w:sz w:val="17"/>
              </w:rPr>
              <w:t>Enhanced Tribal</w:t>
            </w:r>
          </w:p>
        </w:tc>
        <w:tc>
          <w:tcPr>
            <w:tcW w:type="dxa" w:w="1224"/>
          </w:tcPr>
          <w:p>
            <w:r>
              <w:rPr>
                <w:sz w:val="17"/>
              </w:rPr>
              <w:t>MATCH</w:t>
            </w:r>
          </w:p>
        </w:tc>
        <w:tc>
          <w:tcPr>
            <w:tcW w:type="dxa" w:w="2232"/>
          </w:tcPr>
          <w:p>
            <w:r>
              <w:rPr>
                <w:sz w:val="17"/>
              </w:rPr>
              <w:t>Confirm address still USAC-verified (SR-4.4)</w:t>
            </w:r>
          </w:p>
        </w:tc>
      </w:tr>
      <w:tr>
        <w:tc>
          <w:tcPr>
            <w:tcW w:type="dxa" w:w="1800"/>
          </w:tcPr>
          <w:p>
            <w:r>
              <w:rPr>
                <w:sz w:val="17"/>
              </w:rPr>
              <w:t>1005 — T. Chavis</w:t>
            </w:r>
          </w:p>
        </w:tc>
        <w:tc>
          <w:tcPr>
            <w:tcW w:type="dxa" w:w="1512"/>
          </w:tcPr>
          <w:p>
            <w:r>
              <w:rPr>
                <w:sz w:val="17"/>
              </w:rPr>
              <w:t>-$34.25</w:t>
            </w:r>
          </w:p>
        </w:tc>
        <w:tc>
          <w:tcPr>
            <w:tcW w:type="dxa" w:w="1368"/>
          </w:tcPr>
          <w:p>
            <w:r>
              <w:rPr>
                <w:sz w:val="17"/>
              </w:rPr>
              <w:t>Yes (Tribal=No)</w:t>
            </w:r>
          </w:p>
        </w:tc>
        <w:tc>
          <w:tcPr>
            <w:tcW w:type="dxa" w:w="1368"/>
          </w:tcPr>
          <w:p>
            <w:r>
              <w:rPr>
                <w:sz w:val="17"/>
              </w:rPr>
              <w:t>Yes (standard)</w:t>
            </w:r>
          </w:p>
        </w:tc>
        <w:tc>
          <w:tcPr>
            <w:tcW w:type="dxa" w:w="1584"/>
          </w:tcPr>
          <w:p>
            <w:r>
              <w:rPr>
                <w:sz w:val="17"/>
              </w:rPr>
              <w:t>Enhanced Tribal</w:t>
            </w:r>
          </w:p>
        </w:tc>
        <w:tc>
          <w:tcPr>
            <w:tcW w:type="dxa" w:w="1224"/>
          </w:tcPr>
          <w:p>
            <w:r>
              <w:rPr>
                <w:sz w:val="17"/>
              </w:rPr>
              <w:t>NO</w:t>
            </w:r>
          </w:p>
        </w:tc>
        <w:tc>
          <w:tcPr>
            <w:tcW w:type="dxa" w:w="2232"/>
          </w:tcPr>
          <w:p>
            <w:r>
              <w:rPr>
                <w:sz w:val="17"/>
              </w:rPr>
              <w:t>Enhanced credit on UNVERIFIED address — remove -$25; adjust claim (§9)</w:t>
            </w:r>
          </w:p>
        </w:tc>
      </w:tr>
      <w:tr>
        <w:tc>
          <w:tcPr>
            <w:tcW w:type="dxa" w:w="1800"/>
          </w:tcPr>
          <w:p>
            <w:r>
              <w:rPr>
                <w:sz w:val="17"/>
              </w:rPr>
              <w:t>1006 — (blank)</w:t>
            </w:r>
          </w:p>
        </w:tc>
        <w:tc>
          <w:tcPr>
            <w:tcW w:type="dxa" w:w="1512"/>
          </w:tcPr>
          <w:p>
            <w:r>
              <w:rPr>
                <w:sz w:val="17"/>
              </w:rPr>
              <w:t>$0.00</w:t>
            </w:r>
          </w:p>
        </w:tc>
        <w:tc>
          <w:tcPr>
            <w:tcW w:type="dxa" w:w="1368"/>
          </w:tcPr>
          <w:p>
            <w:r>
              <w:rPr>
                <w:sz w:val="17"/>
              </w:rPr>
              <w:t>Yes</w:t>
            </w:r>
          </w:p>
        </w:tc>
        <w:tc>
          <w:tcPr>
            <w:tcW w:type="dxa" w:w="1368"/>
          </w:tcPr>
          <w:p>
            <w:r>
              <w:rPr>
                <w:sz w:val="17"/>
              </w:rPr>
              <w:t>Yes</w:t>
            </w:r>
          </w:p>
        </w:tc>
        <w:tc>
          <w:tcPr>
            <w:tcW w:type="dxa" w:w="1584"/>
          </w:tcPr>
          <w:p>
            <w:r>
              <w:rPr>
                <w:sz w:val="17"/>
              </w:rPr>
              <w:t>Standard</w:t>
            </w:r>
          </w:p>
        </w:tc>
        <w:tc>
          <w:tcPr>
            <w:tcW w:type="dxa" w:w="1224"/>
          </w:tcPr>
          <w:p>
            <w:r>
              <w:rPr>
                <w:sz w:val="17"/>
              </w:rPr>
              <w:t>NO</w:t>
            </w:r>
          </w:p>
        </w:tc>
        <w:tc>
          <w:tcPr>
            <w:tcW w:type="dxa" w:w="2232"/>
          </w:tcPr>
          <w:p>
            <w:r>
              <w:rPr>
                <w:sz w:val="17"/>
              </w:rPr>
              <w:t>NLAD-enrolled but no NISC credit — apply credit; customer owed pass-through (SR-6.8)</w:t>
            </w:r>
          </w:p>
        </w:tc>
      </w:tr>
      <w:tr>
        <w:tc>
          <w:tcPr>
            <w:tcW w:type="dxa" w:w="1800"/>
          </w:tcPr>
          <w:p>
            <w:r>
              <w:rPr>
                <w:sz w:val="17"/>
              </w:rPr>
              <w:t>…</w:t>
            </w:r>
          </w:p>
        </w:tc>
        <w:tc>
          <w:tcPr>
            <w:tcW w:type="dxa" w:w="1512"/>
          </w:tcPr>
          <w:p>
            <w:r>
              <w:rPr>
                <w:sz w:val="17"/>
              </w:rPr>
              <w:t>…</w:t>
            </w:r>
          </w:p>
        </w:tc>
        <w:tc>
          <w:tcPr>
            <w:tcW w:type="dxa" w:w="1368"/>
          </w:tcPr>
          <w:p>
            <w:r>
              <w:rPr>
                <w:sz w:val="17"/>
              </w:rPr>
              <w:t>…</w:t>
            </w:r>
          </w:p>
        </w:tc>
        <w:tc>
          <w:tcPr>
            <w:tcW w:type="dxa" w:w="1368"/>
          </w:tcPr>
          <w:p>
            <w:r>
              <w:rPr>
                <w:sz w:val="17"/>
              </w:rPr>
              <w:t>…</w:t>
            </w:r>
          </w:p>
        </w:tc>
        <w:tc>
          <w:tcPr>
            <w:tcW w:type="dxa" w:w="1584"/>
          </w:tcPr>
          <w:p>
            <w:r>
              <w:rPr>
                <w:sz w:val="17"/>
              </w:rPr>
              <w:t>…</w:t>
            </w:r>
          </w:p>
        </w:tc>
        <w:tc>
          <w:tcPr>
            <w:tcW w:type="dxa" w:w="1224"/>
          </w:tcPr>
          <w:p>
            <w:r>
              <w:rPr>
                <w:sz w:val="17"/>
              </w:rPr>
              <w:t>…</w:t>
            </w:r>
          </w:p>
        </w:tc>
        <w:tc>
          <w:tcPr>
            <w:tcW w:type="dxa" w:w="2232"/>
          </w:tcPr>
          <w:p>
            <w:r>
              <w:rPr>
                <w:sz w:val="17"/>
              </w:rPr>
              <w:t>Repeat for every active Lifeline subscriber</w:t>
            </w:r>
          </w:p>
        </w:tc>
      </w:tr>
    </w:tbl>
    <w:p>
      <w:r>
        <w:rPr>
          <w:b w:val="0"/>
          <w:i/>
          <w:color w:val="595959"/>
          <w:sz w:val="18"/>
        </w:rPr>
        <w:t>The three-way table is the certification evidence: the 497 Officer certifies the LCS claim only after every row reconciles or every exception is documented and cleared.</w:t>
      </w:r>
    </w:p>
    <w:p>
      <w:pPr>
        <w:pStyle w:val="Heading2"/>
      </w:pPr>
      <w:r>
        <w:t>10.2 Monthly close sequence</w:t>
      </w:r>
    </w:p>
    <w:p>
      <w:r>
        <w:rPr>
          <w:b w:val="0"/>
          <w:i w:val="0"/>
          <w:sz w:val="19"/>
        </w:rPr>
        <w:t>Run in order each month; each step gates the next.</w:t>
      </w:r>
    </w:p>
    <w:p>
      <w:pPr>
        <w:pStyle w:val="ListNumber"/>
      </w:pPr>
      <w:r>
        <w:t>NLAD Subscriber Snapshot on the 1st of the month — the authoritative count for the claim (SR-6.8).</w:t>
      </w:r>
    </w:p>
    <w:p>
      <w:pPr>
        <w:pStyle w:val="ListNumber"/>
      </w:pPr>
      <w:r>
        <w:t>Subscriber-count reconciliation — reconcile the NLAD snapshot count against NISC active Lifeline accounts; investigate variances.</w:t>
      </w:r>
    </w:p>
    <w:p>
      <w:pPr>
        <w:pStyle w:val="ListNumber"/>
      </w:pPr>
      <w:r>
        <w:t>LCS claim preparation — build the monthly claim (one per SAC) from the NLAD snapshot (SR-6.8).</w:t>
      </w:r>
    </w:p>
    <w:p>
      <w:pPr>
        <w:pStyle w:val="ListNumber"/>
      </w:pPr>
      <w:r>
        <w:t>Certification by the 497 Officer — Officer certifies the claim; filed by the 8th, paid end of same month (SR-6.8).</w:t>
      </w:r>
    </w:p>
    <w:p>
      <w:pPr>
        <w:pStyle w:val="ListNumber"/>
      </w:pPr>
      <w:r>
        <w:t>Compare NISC credits to NLAD and LCS — run the three-way reconciliation (§10.1); credits applied (GL 2100/2101) must equal NLAD-enrolled must equal LCS-claimed.</w:t>
      </w:r>
    </w:p>
    <w:p>
      <w:pPr>
        <w:pStyle w:val="ListNumber"/>
      </w:pPr>
      <w:r>
        <w:t>Enhanced-Tribal verification pass — confirm every CR-LL-TRB row maps to a still-verified USAC address with NLAD Tribal flag = Yes (SR-4.4).</w:t>
      </w:r>
    </w:p>
    <w:p>
      <w:pPr>
        <w:pStyle w:val="ListNumber"/>
      </w:pPr>
      <w:r>
        <w:t>Exceptions &amp; corrections — clear every exception from §9 and §10.1; prospective/documented corrections only (§7).</w:t>
      </w:r>
    </w:p>
    <w:p>
      <w:pPr>
        <w:pStyle w:val="ListNumber"/>
      </w:pPr>
      <w:r>
        <w:t>Cash-receipt posting — when USAC pays, post cash against the USAC receivable (GL 1300/1301).</w:t>
      </w:r>
    </w:p>
    <w:p>
      <w:pPr>
        <w:pStyle w:val="ListNumber"/>
      </w:pPr>
      <w:r>
        <w:t>A/R reconciliation — reconcile the USAC receivable: credits claimed vs. cash received; age and investigate any unpaid balance.</w:t>
      </w:r>
    </w:p>
    <w:p>
      <w:pPr>
        <w:pStyle w:val="ListNumber"/>
      </w:pPr>
      <w:r>
        <w:t>Tribe settlement invoicing — invoice the Lumbee Tribe for Tribe-funded discounts (GL 2200 → receivable 1320 → settlement 2400); keep separate from USAC (SR-10.2).</w:t>
      </w:r>
    </w:p>
    <w:p>
      <w:pPr>
        <w:pStyle w:val="ListNumber"/>
      </w:pPr>
      <w:r>
        <w:t>Finance &amp; compliance approvals — Finance and Compliance sign off on the close and the certified claim.</w:t>
      </w:r>
    </w:p>
    <w:p>
      <w:pPr>
        <w:pStyle w:val="ListNumber"/>
      </w:pPr>
      <w:r>
        <w:t>Retain documentation — retain the snapshot, claim, three-way reconciliation, exceptions, and approvals ≥ 3 full preceding calendar years; eligibility docs for as long as the subscriber receives service, minimum 3 years (SR-6.11).</w:t>
      </w:r>
    </w:p>
    <w:p>
      <w:pPr>
        <w:pStyle w:val="Heading2"/>
      </w:pPr>
      <w:r>
        <w:t>10.3 Standing monthly reconciliation reports</w:t>
      </w:r>
    </w:p>
    <w:p>
      <w:pPr>
        <w:pStyle w:val="ListBullet"/>
      </w:pPr>
      <w:r>
        <w:t>NISC-to-NLAD subscriber reconciliation (count + line-level match).</w:t>
      </w:r>
    </w:p>
    <w:p>
      <w:pPr>
        <w:pStyle w:val="ListBullet"/>
      </w:pPr>
      <w:r>
        <w:t>NLAD-to-LCS claim reconciliation (snapshot vs. certified claim).</w:t>
      </w:r>
    </w:p>
    <w:p>
      <w:pPr>
        <w:pStyle w:val="ListBullet"/>
      </w:pPr>
      <w:r>
        <w:t>USAC receivable aging (claimed vs. paid, GL 1300/1301).</w:t>
      </w:r>
    </w:p>
    <w:p>
      <w:pPr>
        <w:pStyle w:val="ListBullet"/>
      </w:pPr>
      <w:r>
        <w:t>Credit pass-through report (total Lifeline credits applied = total claimed = total to be reimbursed; SR-6.8).</w:t>
      </w:r>
    </w:p>
    <w:p>
      <w:pPr>
        <w:pStyle w:val="ListBullet"/>
      </w:pPr>
      <w:r>
        <w:t>Tribe-funded settlement report (GL 2200/1320/2400) and RIVR-funded discount report (GL 2300), each isolated by stream (SR-10.2).</w:t>
      </w:r>
    </w:p>
    <w:p>
      <w:pPr>
        <w:pStyle w:val="Heading1"/>
      </w:pPr>
      <w:r>
        <w:t>11. Data Security &amp; Access Controls in NISC</w:t>
      </w:r>
    </w:p>
    <w:p>
      <w:r>
        <w:rPr>
          <w:b w:val="0"/>
          <w:i w:val="0"/>
          <w:sz w:val="21"/>
        </w:rPr>
        <w:t>Lifeline processing touches sensitive personal and eligibility data. NISC configuration and IT controls must minimize what is stored, mask what is displayed, and log who touches it.</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2E5496"/>
          </w:tcPr>
          <w:p>
            <w:r>
              <w:rPr>
                <w:b/>
                <w:color w:val="FFFFFF"/>
                <w:sz w:val="18"/>
              </w:rPr>
              <w:t>Control</w:t>
            </w:r>
          </w:p>
        </w:tc>
        <w:tc>
          <w:tcPr>
            <w:tcW w:type="dxa" w:w="4824"/>
            <w:shd w:val="clear" w:fill="2E5496"/>
          </w:tcPr>
          <w:p>
            <w:r>
              <w:rPr>
                <w:b/>
                <w:color w:val="FFFFFF"/>
                <w:sz w:val="18"/>
              </w:rPr>
              <w:t>Requirement</w:t>
            </w:r>
          </w:p>
        </w:tc>
        <w:tc>
          <w:tcPr>
            <w:tcW w:type="dxa" w:w="3960"/>
            <w:shd w:val="clear" w:fill="2E5496"/>
          </w:tcPr>
          <w:p>
            <w:r>
              <w:rPr>
                <w:b/>
                <w:color w:val="FFFFFF"/>
                <w:sz w:val="18"/>
              </w:rPr>
              <w:t>Config note (illustrative) [CONFIRM in NISC]</w:t>
            </w:r>
          </w:p>
        </w:tc>
      </w:tr>
      <w:tr>
        <w:tc>
          <w:tcPr>
            <w:tcW w:type="dxa" w:w="2304"/>
          </w:tcPr>
          <w:p>
            <w:r>
              <w:rPr>
                <w:sz w:val="17"/>
              </w:rPr>
              <w:t>Data minimization</w:t>
            </w:r>
          </w:p>
        </w:tc>
        <w:tc>
          <w:tcPr>
            <w:tcW w:type="dxa" w:w="4824"/>
          </w:tcPr>
          <w:p>
            <w:r>
              <w:rPr>
                <w:sz w:val="17"/>
              </w:rPr>
              <w:t>Store only the minimum in NISC: NV/NLAD application ID, benefit type, enrollment effective date, Tribal-verification flag. NO full SSNs, eligibility documents, or tribal-roll data in NISC notes/CRM fields</w:t>
            </w:r>
          </w:p>
        </w:tc>
        <w:tc>
          <w:tcPr>
            <w:tcW w:type="dxa" w:w="3960"/>
          </w:tcPr>
          <w:p>
            <w:r>
              <w:rPr>
                <w:sz w:val="17"/>
              </w:rPr>
              <w:t>Disable free-text capture of SSN/eligibility proofs; route documents to the secure store (below)</w:t>
            </w:r>
          </w:p>
        </w:tc>
      </w:tr>
      <w:tr>
        <w:tc>
          <w:tcPr>
            <w:tcW w:type="dxa" w:w="2304"/>
          </w:tcPr>
          <w:p>
            <w:r>
              <w:rPr>
                <w:sz w:val="17"/>
              </w:rPr>
              <w:t>Masked SSN</w:t>
            </w:r>
          </w:p>
        </w:tc>
        <w:tc>
          <w:tcPr>
            <w:tcW w:type="dxa" w:w="4824"/>
          </w:tcPr>
          <w:p>
            <w:r>
              <w:rPr>
                <w:sz w:val="17"/>
              </w:rPr>
              <w:t>Any SSN reference displayed as masked (e.g., xxx-xx-1234); full SSN never rendered in NISC UI, notes, tickets, or reports</w:t>
            </w:r>
          </w:p>
        </w:tc>
        <w:tc>
          <w:tcPr>
            <w:tcW w:type="dxa" w:w="3960"/>
          </w:tcPr>
          <w:p>
            <w:r>
              <w:rPr>
                <w:sz w:val="17"/>
              </w:rPr>
              <w:t>Enable SSN masking at the field and report level; restrict unmask to no one / break-glass only</w:t>
            </w:r>
          </w:p>
        </w:tc>
      </w:tr>
      <w:tr>
        <w:tc>
          <w:tcPr>
            <w:tcW w:type="dxa" w:w="2304"/>
          </w:tcPr>
          <w:p>
            <w:r>
              <w:rPr>
                <w:sz w:val="17"/>
              </w:rPr>
              <w:t>Role-based access (RBAC)</w:t>
            </w:r>
          </w:p>
        </w:tc>
        <w:tc>
          <w:tcPr>
            <w:tcW w:type="dxa" w:w="4824"/>
          </w:tcPr>
          <w:p>
            <w:r>
              <w:rPr>
                <w:sz w:val="17"/>
              </w:rPr>
              <w:t>Least-privilege roles: Billing clerk, Billing Manager, Finance, Compliance, 497 Officer, IT admin — each sees only what the role needs; enrollment reps need Rep IDs (SR-6.6)</w:t>
            </w:r>
          </w:p>
        </w:tc>
        <w:tc>
          <w:tcPr>
            <w:tcW w:type="dxa" w:w="3960"/>
          </w:tcPr>
          <w:p>
            <w:r>
              <w:rPr>
                <w:sz w:val="17"/>
              </w:rPr>
              <w:t>Define NISC roles mapped to job function; no shared logins; quarterly access review</w:t>
            </w:r>
          </w:p>
        </w:tc>
      </w:tr>
      <w:tr>
        <w:tc>
          <w:tcPr>
            <w:tcW w:type="dxa" w:w="2304"/>
          </w:tcPr>
          <w:p>
            <w:r>
              <w:rPr>
                <w:sz w:val="17"/>
              </w:rPr>
              <w:t>Audit logs</w:t>
            </w:r>
          </w:p>
        </w:tc>
        <w:tc>
          <w:tcPr>
            <w:tcW w:type="dxa" w:w="4824"/>
          </w:tcPr>
          <w:p>
            <w:r>
              <w:rPr>
                <w:sz w:val="17"/>
              </w:rPr>
              <w:t>Immutable logs of who created/edited/removed credits, who unmasked data, who ran eligibility reports; retained per §54.417 (SR-6.11)</w:t>
            </w:r>
          </w:p>
        </w:tc>
        <w:tc>
          <w:tcPr>
            <w:tcW w:type="dxa" w:w="3960"/>
          </w:tcPr>
          <w:p>
            <w:r>
              <w:rPr>
                <w:sz w:val="17"/>
              </w:rPr>
              <w:t>Enable change auditing on rate/credit codes and on customer records; export logs to a retained store</w:t>
            </w:r>
          </w:p>
        </w:tc>
      </w:tr>
      <w:tr>
        <w:tc>
          <w:tcPr>
            <w:tcW w:type="dxa" w:w="2304"/>
          </w:tcPr>
          <w:p>
            <w:r>
              <w:rPr>
                <w:sz w:val="17"/>
              </w:rPr>
              <w:t>Secure document store</w:t>
            </w:r>
          </w:p>
        </w:tc>
        <w:tc>
          <w:tcPr>
            <w:tcW w:type="dxa" w:w="4824"/>
          </w:tcPr>
          <w:p>
            <w:r>
              <w:rPr>
                <w:sz w:val="17"/>
              </w:rPr>
              <w:t>Eligibility source documents (if any are retained at all) live only in an encrypted, access-controlled, audit-logged repository separate from NISC free text</w:t>
            </w:r>
          </w:p>
        </w:tc>
        <w:tc>
          <w:tcPr>
            <w:tcW w:type="dxa" w:w="3960"/>
          </w:tcPr>
          <w:p>
            <w:r>
              <w:rPr>
                <w:sz w:val="17"/>
              </w:rPr>
              <w:t>Point document workflows to the secure store; NISC holds a reference ID only</w:t>
            </w:r>
          </w:p>
        </w:tc>
      </w:tr>
      <w:tr>
        <w:tc>
          <w:tcPr>
            <w:tcW w:type="dxa" w:w="2304"/>
          </w:tcPr>
          <w:p>
            <w:r>
              <w:rPr>
                <w:sz w:val="17"/>
              </w:rPr>
              <w:t>Vendor / NISC access</w:t>
            </w:r>
          </w:p>
        </w:tc>
        <w:tc>
          <w:tcPr>
            <w:tcW w:type="dxa" w:w="4824"/>
          </w:tcPr>
          <w:p>
            <w:r>
              <w:rPr>
                <w:sz w:val="17"/>
              </w:rPr>
              <w:t>NISC (vendor) support access governed by least-privilege, logged, and time-bound; covered by the vendor DPA / confidentiality terms</w:t>
            </w:r>
          </w:p>
        </w:tc>
        <w:tc>
          <w:tcPr>
            <w:tcW w:type="dxa" w:w="3960"/>
          </w:tcPr>
          <w:p>
            <w:r>
              <w:rPr>
                <w:sz w:val="17"/>
              </w:rPr>
              <w:t>Restrict and log vendor support sessions; review vendor access in the quarterly access review</w:t>
            </w:r>
          </w:p>
        </w:tc>
      </w:tr>
      <w:tr>
        <w:tc>
          <w:tcPr>
            <w:tcW w:type="dxa" w:w="2304"/>
          </w:tcPr>
          <w:p>
            <w:r>
              <w:rPr>
                <w:sz w:val="17"/>
              </w:rPr>
              <w:t>Retention &amp; disposal</w:t>
            </w:r>
          </w:p>
        </w:tc>
        <w:tc>
          <w:tcPr>
            <w:tcW w:type="dxa" w:w="4824"/>
          </w:tcPr>
          <w:p>
            <w:r>
              <w:rPr>
                <w:sz w:val="17"/>
              </w:rPr>
              <w:t>Retain compliance records ≥ 3 full preceding calendar years; eligibility docs for the life of service (min 3 yrs); dispose securely thereafter (SR-6.11)</w:t>
            </w:r>
          </w:p>
        </w:tc>
        <w:tc>
          <w:tcPr>
            <w:tcW w:type="dxa" w:w="3960"/>
          </w:tcPr>
          <w:p>
            <w:r>
              <w:rPr>
                <w:sz w:val="17"/>
              </w:rPr>
              <w:t>Configure retention policy and secure deletion; document the schedule</w:t>
            </w:r>
          </w:p>
        </w:tc>
      </w:tr>
    </w:tbl>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Re-affirming §1: NEVER place full SSNs, benefit letters, income proofs, or tribal-roll / enrollment data into unsecured NISC notes or general CRM fields. Eligibility is proven and held in the National Verifier; NISC keeps only the minimal reference data. This is the single most important privacy control in the billing configuration.</w:t>
            </w:r>
          </w:p>
        </w:tc>
      </w:tr>
    </w:tbl>
    <w:p>
      <w:r>
        <w:br w:type="page"/>
      </w:r>
    </w:p>
    <w:p>
      <w:pPr>
        <w:pStyle w:val="Heading2"/>
      </w:pPr>
      <w:r>
        <w:t>Revision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2E5496"/>
          </w:tcPr>
          <w:p>
            <w:r>
              <w:rPr>
                <w:b/>
                <w:color w:val="FFFFFF"/>
                <w:sz w:val="19"/>
              </w:rPr>
              <w:t>Version</w:t>
            </w:r>
          </w:p>
        </w:tc>
        <w:tc>
          <w:tcPr>
            <w:tcW w:type="dxa" w:w="1728"/>
            <w:shd w:val="clear" w:fill="2E5496"/>
          </w:tcPr>
          <w:p>
            <w:r>
              <w:rPr>
                <w:b/>
                <w:color w:val="FFFFFF"/>
                <w:sz w:val="19"/>
              </w:rPr>
              <w:t>Date</w:t>
            </w:r>
          </w:p>
        </w:tc>
        <w:tc>
          <w:tcPr>
            <w:tcW w:type="dxa" w:w="1728"/>
            <w:shd w:val="clear" w:fill="2E5496"/>
          </w:tcPr>
          <w:p>
            <w:r>
              <w:rPr>
                <w:b/>
                <w:color w:val="FFFFFF"/>
                <w:sz w:val="19"/>
              </w:rPr>
              <w:t>Author</w:t>
            </w:r>
          </w:p>
        </w:tc>
        <w:tc>
          <w:tcPr>
            <w:tcW w:type="dxa" w:w="1728"/>
            <w:shd w:val="clear" w:fill="2E5496"/>
          </w:tcPr>
          <w:p>
            <w:r>
              <w:rPr>
                <w:b/>
                <w:color w:val="FFFFFF"/>
                <w:sz w:val="19"/>
              </w:rPr>
              <w:t>Summary of change</w:t>
            </w:r>
          </w:p>
        </w:tc>
        <w:tc>
          <w:tcPr>
            <w:tcW w:type="dxa" w:w="1728"/>
            <w:shd w:val="clear" w:fill="2E5496"/>
          </w:tcPr>
          <w:p>
            <w:r>
              <w:rPr>
                <w:b/>
                <w:color w:val="FFFFFF"/>
                <w:sz w:val="19"/>
              </w:rPr>
              <w:t>Approved by</w:t>
            </w:r>
          </w:p>
        </w:tc>
      </w:tr>
      <w:tr>
        <w:tc>
          <w:tcPr>
            <w:tcW w:type="dxa" w:w="1728"/>
          </w:tcPr>
          <w:p>
            <w:r>
              <w:rPr>
                <w:sz w:val="19"/>
              </w:rPr>
              <w:t>v0.1</w:t>
            </w:r>
          </w:p>
        </w:tc>
        <w:tc>
          <w:tcPr>
            <w:tcW w:type="dxa" w:w="1728"/>
          </w:tcPr>
          <w:p>
            <w:r>
              <w:rPr>
                <w:sz w:val="19"/>
              </w:rPr>
              <w:t>(build)</w:t>
            </w:r>
          </w:p>
        </w:tc>
        <w:tc>
          <w:tcPr>
            <w:tcW w:type="dxa" w:w="1728"/>
          </w:tcPr>
          <w:p>
            <w:r>
              <w:rPr>
                <w:sz w:val="19"/>
              </w:rPr>
              <w:t>Program build</w:t>
            </w:r>
          </w:p>
        </w:tc>
        <w:tc>
          <w:tcPr>
            <w:tcW w:type="dxa" w:w="1728"/>
          </w:tcPr>
          <w:p>
            <w:r>
              <w:rPr>
                <w:sz w:val="19"/>
              </w:rPr>
              <w:t>Initial draft for internal review</w:t>
            </w:r>
          </w:p>
        </w:tc>
        <w:tc>
          <w:tcPr>
            <w:tcW w:type="dxa" w:w="1728"/>
          </w:tcPr>
          <w:p>
            <w:r>
              <w:rPr>
                <w:sz w:val="19"/>
              </w:rPr>
              <w:t>(pending)</w:t>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bl>
    <w:p/>
    <w:p>
      <w:r>
        <w:rPr>
          <w:b w:val="0"/>
          <w:i/>
          <w:color w:val="595959"/>
          <w:sz w:val="18"/>
        </w:rPr>
        <w:t>This is a build-phase draft. All figures, prices, and regulatory determinations are subject to confirmation per the Open Issues &amp; Legal Decisions Log (Deliverable 13) and the Regulatory Source Register (Deliverable 00). Do not launch, market, or bill against this document until the final NCUC ETC order is issued and USAC onboarding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