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595959"/>
          <w:sz w:val="22"/>
        </w:rPr>
        <w:t>LREMC Technologies, LLC d/b/a RIVR Tech</w:t>
      </w:r>
    </w:p>
    <w:p>
      <w:r>
        <w:rPr>
          <w:b/>
          <w:color w:val="1F3864"/>
          <w:sz w:val="48"/>
        </w:rPr>
        <w:t>Memorandum of Understanding — Exhibit</w:t>
      </w:r>
    </w:p>
    <w:p>
      <w:r>
        <w:rPr>
          <w:color w:val="2E5496"/>
          <w:sz w:val="26"/>
        </w:rPr>
        <w:t>Broadband Affordability Initiative — RIVR Tech &amp; the Lumbee Tribe of North Carolina</w:t>
      </w:r>
    </w:p>
    <w:p/>
    <w:tbl>
      <w:tblPr>
        <w:tblStyle w:val="LightList-Accent1"/>
        <w:tblW w:type="auto" w:w="0"/>
        <w:tblLook w:firstColumn="1" w:firstRow="1" w:lastColumn="0" w:lastRow="0" w:noHBand="0" w:noVBand="1" w:val="04A0"/>
      </w:tblPr>
      <w:tblGrid>
        <w:gridCol w:w="4320"/>
        <w:gridCol w:w="4320"/>
      </w:tblGrid>
      <w:tr>
        <w:tc>
          <w:tcPr>
            <w:tcW w:type="dxa" w:w="4320"/>
          </w:tcPr>
          <w:p>
            <w:r>
              <w:rPr>
                <w:b/>
              </w:rPr>
              <w:t>Deliverable</w:t>
            </w:r>
          </w:p>
        </w:tc>
        <w:tc>
          <w:tcPr>
            <w:tcW w:type="dxa" w:w="4320"/>
          </w:tcPr>
          <w:p>
            <w:r>
              <w:t>11 — Lumbee Tribe Partnership MOU (Draft Exhibit)</w:t>
            </w:r>
          </w:p>
        </w:tc>
      </w:tr>
      <w:tr>
        <w:tc>
          <w:tcPr>
            <w:tcW w:type="dxa" w:w="4320"/>
          </w:tcPr>
          <w:p>
            <w:r>
              <w:rPr>
                <w:b/>
              </w:rPr>
              <w:t>Document owner</w:t>
            </w:r>
          </w:p>
        </w:tc>
        <w:tc>
          <w:tcPr>
            <w:tcW w:type="dxa" w:w="4320"/>
          </w:tcPr>
          <w:p>
            <w:r>
              <w:t>Executive Sponsor + Legal Counsel (both parties)</w:t>
            </w:r>
          </w:p>
        </w:tc>
      </w:tr>
      <w:tr>
        <w:tc>
          <w:tcPr>
            <w:tcW w:type="dxa" w:w="4320"/>
          </w:tcPr>
          <w:p>
            <w:r>
              <w:rPr>
                <w:b/>
              </w:rPr>
              <w:t>Approval / sign-off</w:t>
            </w:r>
          </w:p>
        </w:tc>
        <w:tc>
          <w:tcPr>
            <w:tcW w:type="dxa" w:w="4320"/>
          </w:tcPr>
          <w:p>
            <w:r>
              <w:t>________________________  (authorized official / title / date) — each party</w:t>
            </w:r>
          </w:p>
        </w:tc>
      </w:tr>
      <w:tr>
        <w:tc>
          <w:tcPr>
            <w:tcW w:type="dxa" w:w="4320"/>
          </w:tcPr>
          <w:p>
            <w:r>
              <w:rPr>
                <w:b/>
              </w:rPr>
              <w:t>Version</w:t>
            </w:r>
          </w:p>
        </w:tc>
        <w:tc>
          <w:tcPr>
            <w:tcW w:type="dxa" w:w="4320"/>
          </w:tcPr>
          <w:p>
            <w:r>
              <w:t>v0.1 — DRAFT EXHIBIT (for legal review)</w:t>
            </w:r>
          </w:p>
        </w:tc>
      </w:tr>
      <w:tr>
        <w:tc>
          <w:tcPr>
            <w:tcW w:type="dxa" w:w="4320"/>
          </w:tcPr>
          <w:p>
            <w:r>
              <w:rPr>
                <w:b/>
              </w:rPr>
              <w:t>Status</w:t>
            </w:r>
          </w:p>
        </w:tc>
        <w:tc>
          <w:tcPr>
            <w:tcW w:type="dxa" w:w="4320"/>
          </w:tcPr>
          <w:p>
            <w:r>
              <w:t>PRE-DECISION build artifact. Figures are illustrative/placeholder pending confirmation.</w:t>
            </w:r>
          </w:p>
        </w:tc>
      </w:tr>
      <w:tr>
        <w:tc>
          <w:tcPr>
            <w:tcW w:type="dxa" w:w="4320"/>
          </w:tcPr>
          <w:p>
            <w:r>
              <w:rPr>
                <w:b/>
              </w:rPr>
              <w:t>Source basis</w:t>
            </w:r>
          </w:p>
        </w:tc>
        <w:tc>
          <w:tcPr>
            <w:tcW w:type="dxa" w:w="4320"/>
          </w:tcPr>
          <w:p>
            <w:r>
              <w:t>See 00_Regulatory_Source_Register.md (item refs 'SR-x.y').</w:t>
            </w:r>
          </w:p>
        </w:tc>
      </w:tr>
    </w:tbl>
    <w:p/>
    <w:tbl>
      <w:tblPr>
        <w:tblW w:type="auto" w:w="0"/>
        <w:jc w:val="center"/>
        <w:tblLook w:firstColumn="1" w:firstRow="1" w:lastColumn="0" w:lastRow="0" w:noHBand="0" w:noVBand="1" w:val="04A0"/>
      </w:tblPr>
      <w:tblGrid>
        <w:gridCol w:w="8640"/>
      </w:tblGrid>
      <w:tr>
        <w:tc>
          <w:tcPr>
            <w:tcW w:type="dxa" w:w="8640"/>
            <w:shd w:val="clear" w:fill="FCE4D6"/>
          </w:tcPr>
          <w:p>
            <w:r>
              <w:rPr>
                <w:b/>
                <w:color w:val="C00000"/>
                <w:sz w:val="20"/>
              </w:rPr>
              <w:t>⚠ DRAFT FOR LEGAL REVIEW BY BOTH PARTIES' COUNSEL. This exhibit is non-binding until executed by duly authorized officials of both parties. Nothing herein waives, limits, or diminishes the sovereign immunity of the Lumbee Tribe of North Carolina. All financial terms are placeholders pending confirmation.</w:t>
            </w:r>
          </w:p>
        </w:tc>
      </w:tr>
    </w:tbl>
    <w:p>
      <w:r>
        <w:br w:type="page"/>
      </w:r>
    </w:p>
    <w:p>
      <w:pPr>
        <w:pStyle w:val="Heading1"/>
      </w:pPr>
      <w:r>
        <w:t>Table of Contents</w:t>
      </w:r>
    </w:p>
    <w:p>
      <w:r/>
      <w:fldSimple w:instr="TOC \o &quot;1-3&quot; \h \z \u">
        <w:r>
          <w:t>Right-click and 'Update Field' to build the table of contents.</w:t>
        </w:r>
      </w:fldSimple>
    </w:p>
    <w:p>
      <w:r>
        <w:br w:type="page"/>
      </w:r>
    </w:p>
    <w:p>
      <w:pPr>
        <w:pStyle w:val="Heading1"/>
      </w:pPr>
      <w:r>
        <w:t>1. Draft Status &amp; Reservation of Rights</w:t>
      </w:r>
    </w:p>
    <w:tbl>
      <w:tblPr>
        <w:tblW w:type="auto" w:w="0"/>
        <w:jc w:val="center"/>
        <w:tblLook w:firstColumn="1" w:firstRow="1" w:lastColumn="0" w:lastRow="0" w:noHBand="0" w:noVBand="1" w:val="04A0"/>
      </w:tblPr>
      <w:tblGrid>
        <w:gridCol w:w="8640"/>
      </w:tblGrid>
      <w:tr>
        <w:tc>
          <w:tcPr>
            <w:tcW w:type="dxa" w:w="8640"/>
            <w:shd w:val="clear" w:fill="FCE4D6"/>
          </w:tcPr>
          <w:p>
            <w:r>
              <w:rPr>
                <w:b/>
                <w:color w:val="C00000"/>
                <w:sz w:val="20"/>
              </w:rPr>
              <w:t>⚠ DRAFT FOR LEGAL REVIEW. This document is a working draft prepared for review by counsel for both the Lumbee Tribe of North Carolina (the "Tribe") and LREMC Technologies, LLC d/b/a RIVR Tech ("RIVR Tech"). It is NOT binding on either party and creates no obligations until it is reviewed, revised, approved, and executed by duly authorized officials of both parties. NOTHING IN THIS MEMORANDUM OF UNDERSTANDING WAIVES, LIMITS, OR OTHERWISE DIMINISHES THE SOVEREIGN IMMUNITY OF THE LUMBEE TRIBE OF NORTH CAROLINA (see Section 12). All names, titles, dates, dollar amounts, funding commitments, and settlement mechanics shown are placeholders.</w:t>
            </w:r>
          </w:p>
        </w:tc>
      </w:tr>
    </w:tbl>
    <w:p>
      <w:r>
        <w:rPr>
          <w:b w:val="0"/>
          <w:i/>
          <w:color w:val="595959"/>
          <w:sz w:val="18"/>
        </w:rPr>
        <w:t>Placeholder convention: every term marked "[PLACEHOLDER — LEGAL REVIEW REQUIRED]" must be resolved by the parties' counsel before execution. Financial commitments are intentionally left as placeholders; no binding financial obligation is created by this draft.</w:t>
      </w:r>
    </w:p>
    <w:p>
      <w:pPr>
        <w:pStyle w:val="Heading1"/>
      </w:pPr>
      <w:r>
        <w:t>2. Background &amp; Recitals</w:t>
      </w:r>
    </w:p>
    <w:p>
      <w:r>
        <w:rPr>
          <w:b w:val="0"/>
          <w:i w:val="0"/>
          <w:sz w:val="21"/>
        </w:rPr>
        <w:t>This Memorandum of Understanding ("MOU") is entered into as of [PLACEHOLDER — LEGAL REVIEW REQUIRED] (the "Effective Date"), by and between:</w:t>
      </w:r>
    </w:p>
    <w:p>
      <w:pPr>
        <w:pStyle w:val="ListBullet"/>
      </w:pPr>
      <w:r>
        <w:t>The Lumbee Tribe of North Carolina, a federally recognized Indian tribe (the "Tribe"); and</w:t>
      </w:r>
    </w:p>
    <w:p>
      <w:pPr>
        <w:pStyle w:val="ListBullet"/>
      </w:pPr>
      <w:r>
        <w:t>LREMC Technologies, LLC d/b/a RIVR Tech, a North Carolina limited liability company with its principal office at 6090 NC Hwy 711, Pembroke, NC 28372 ("RIVR Tech").</w:t>
      </w:r>
    </w:p>
    <w:p>
      <w:r>
        <w:rPr>
          <w:b w:val="0"/>
          <w:i w:val="0"/>
          <w:sz w:val="21"/>
        </w:rPr>
        <w:t>The Tribe and RIVR Tech are referred to individually as a "Party" and collectively as the "Parties."</w:t>
      </w:r>
    </w:p>
    <w:p>
      <w:pPr>
        <w:pStyle w:val="Heading2"/>
      </w:pPr>
      <w:r>
        <w:t>2.1 Recitals</w:t>
      </w:r>
    </w:p>
    <w:p>
      <w:pPr>
        <w:pStyle w:val="ListNumber"/>
      </w:pPr>
      <w:r>
        <w:t>WHEREAS, the Lumbee Tribe of North Carolina received full federal recognition through Public Law 119-60, enacted as Section 8803 of the National Defense Authorization Act for Fiscal Year 2026, 139 Stat. 1973, signed December 18, 2025 (SR-5.1), and was added by the U.S. Department of the Interior to the official list of federally recognized tribes (SR-5.2);</w:t>
      </w:r>
    </w:p>
    <w:p>
      <w:pPr>
        <w:pStyle w:val="ListNumber"/>
      </w:pPr>
      <w:r>
        <w:t>WHEREAS, the Tribe's federal service delivery area for the delivery of federal services to members comprises Robeson, Cumberland, Hoke, and Scotland Counties, North Carolina (SR-5.4);</w:t>
      </w:r>
    </w:p>
    <w:p>
      <w:pPr>
        <w:pStyle w:val="ListNumber"/>
      </w:pPr>
      <w:r>
        <w:t>WHEREAS, RIVR Tech operates a symmetrical fiber broadband network in the region and has an application for designation as an Eligible Telecommunications Carrier (ETC) pending before the North Carolina Utilities Commission (SR-7.4);</w:t>
      </w:r>
    </w:p>
    <w:p>
      <w:pPr>
        <w:pStyle w:val="ListNumber"/>
      </w:pPr>
      <w:r>
        <w:t>WHEREAS, the Parties wish to collaborate to improve broadband affordability, adoption, and digital literacy among Tribal members and residents of the service delivery area; and</w:t>
      </w:r>
    </w:p>
    <w:p>
      <w:pPr>
        <w:pStyle w:val="ListNumber"/>
      </w:pPr>
      <w:r>
        <w:t>WHEREAS, the Parties intend to set out a framework of shared, non-binding understandings that respects the Tribe's sovereignty, protects member data, and complies with applicable federal and state law;</w:t>
      </w:r>
    </w:p>
    <w:p>
      <w:r>
        <w:rPr>
          <w:b/>
          <w:i w:val="0"/>
          <w:sz w:val="21"/>
        </w:rPr>
        <w:t>NOW, THEREFORE, the Parties record the following mutual understandings.</w:t>
      </w:r>
    </w:p>
    <w:tbl>
      <w:tblPr>
        <w:tblW w:type="auto" w:w="0"/>
        <w:jc w:val="center"/>
        <w:tblLook w:firstColumn="1" w:firstRow="1" w:lastColumn="0" w:lastRow="0" w:noHBand="0" w:noVBand="1" w:val="04A0"/>
      </w:tblPr>
      <w:tblGrid>
        <w:gridCol w:w="8640"/>
      </w:tblGrid>
      <w:tr>
        <w:tc>
          <w:tcPr>
            <w:tcW w:type="dxa" w:w="8640"/>
            <w:shd w:val="clear" w:fill="D9E1F2"/>
          </w:tcPr>
          <w:p>
            <w:r>
              <w:rPr>
                <w:color w:val="2E5496"/>
                <w:sz w:val="20"/>
              </w:rPr>
              <w:t>ⓘ SCOPE NOTE. This MOU concerns a broadband AFFORDABILITY initiative and a possible, Tribe-funded consumer benefit. It is SEPARATE and DISTINCT from federal Lifeline eligibility. Federal Lifeline support (including any enhanced Tribal benefit) is governed exclusively by FCC rules and USAC processes and is not created, expanded, or guaranteed by this MOU. See Section 5.</w:t>
            </w:r>
          </w:p>
        </w:tc>
      </w:tr>
    </w:tbl>
    <w:p>
      <w:pPr>
        <w:pStyle w:val="Heading1"/>
      </w:pPr>
      <w:r>
        <w:t>3. Purpose &amp; Guiding Principles</w:t>
      </w:r>
    </w:p>
    <w:p>
      <w:pPr>
        <w:pStyle w:val="Heading2"/>
      </w:pPr>
      <w:r>
        <w:t>3.1 Purpose</w:t>
      </w:r>
    </w:p>
    <w:p>
      <w:r>
        <w:rPr>
          <w:b w:val="0"/>
          <w:i w:val="0"/>
          <w:sz w:val="21"/>
        </w:rPr>
        <w:t>The purpose of this MOU is to establish a cooperative, non-binding framework under which the Parties may: (a) expand affordable broadband access for Tribal members and area residents; (b) coordinate outreach, enrollment, and digital-literacy education; (c) protect the privacy of member and applicant data; and (d) define a possible, separately funded Tribal affordability contribution, if the Tribe elects to fund one.</w:t>
      </w:r>
    </w:p>
    <w:p>
      <w:pPr>
        <w:pStyle w:val="Heading2"/>
      </w:pPr>
      <w:r>
        <w:t>3.2 Guiding principles</w:t>
      </w:r>
    </w:p>
    <w:p>
      <w:pPr>
        <w:pStyle w:val="ListBullet"/>
      </w:pPr>
      <w:r>
        <w:t>Tribal sovereignty is respected in all activities; the Tribe retains full control over its name, marks, facilities, membership information, and internal processes.</w:t>
      </w:r>
    </w:p>
    <w:p>
      <w:pPr>
        <w:pStyle w:val="ListBullet"/>
      </w:pPr>
      <w:r>
        <w:t>Regulatory integrity: federal Lifeline eligibility is determined solely under FCC/USAC rules; nothing in this collaboration is represented to members as changing that.</w:t>
      </w:r>
    </w:p>
    <w:p>
      <w:pPr>
        <w:pStyle w:val="ListBullet"/>
      </w:pPr>
      <w:r>
        <w:t>Data minimization and consent: only the minimum data necessary is shared, only with consent, and only for the stated purpose.</w:t>
      </w:r>
    </w:p>
    <w:p>
      <w:pPr>
        <w:pStyle w:val="ListBullet"/>
      </w:pPr>
      <w:r>
        <w:t>Separate accounting: any Tribe-funded benefit is tracked separately from federal funds and grant funds (SR-10.2).</w:t>
      </w:r>
    </w:p>
    <w:p>
      <w:pPr>
        <w:pStyle w:val="ListBullet"/>
      </w:pPr>
      <w:r>
        <w:t>Transparency to members: communications are accurate, non-deceptive, and jointly reviewed.</w:t>
      </w:r>
    </w:p>
    <w:p>
      <w:pPr>
        <w:pStyle w:val="Heading1"/>
      </w:pPr>
      <w:r>
        <w:t>4. Division of Responsibilities</w:t>
      </w:r>
    </w:p>
    <w:p>
      <w:r>
        <w:rPr>
          <w:b w:val="0"/>
          <w:i w:val="0"/>
          <w:sz w:val="19"/>
        </w:rPr>
        <w:t>The following table allocates anticipated responsibilities. "R" denotes the responsible party; "S" denotes a supporting role; "Joint" denotes shared responsibility. Allocations marked "[PLACEHOLDER — LEGAL REVIEW REQUIRED]" require confirmation by the Parties.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3600"/>
            <w:shd w:val="clear" w:fill="2E5496"/>
          </w:tcPr>
          <w:p>
            <w:r>
              <w:rPr>
                <w:b/>
                <w:color w:val="FFFFFF"/>
                <w:sz w:val="18"/>
              </w:rPr>
              <w:t>Responsibility</w:t>
            </w:r>
          </w:p>
        </w:tc>
        <w:tc>
          <w:tcPr>
            <w:tcW w:type="dxa" w:w="2160"/>
            <w:shd w:val="clear" w:fill="2E5496"/>
          </w:tcPr>
          <w:p>
            <w:r>
              <w:rPr>
                <w:b/>
                <w:color w:val="FFFFFF"/>
                <w:sz w:val="18"/>
              </w:rPr>
              <w:t>RIVR Tech</w:t>
            </w:r>
          </w:p>
        </w:tc>
        <w:tc>
          <w:tcPr>
            <w:tcW w:type="dxa" w:w="2160"/>
            <w:shd w:val="clear" w:fill="2E5496"/>
          </w:tcPr>
          <w:p>
            <w:r>
              <w:rPr>
                <w:b/>
                <w:color w:val="FFFFFF"/>
                <w:sz w:val="18"/>
              </w:rPr>
              <w:t>Lumbee Tribe</w:t>
            </w:r>
          </w:p>
        </w:tc>
        <w:tc>
          <w:tcPr>
            <w:tcW w:type="dxa" w:w="2016"/>
            <w:shd w:val="clear" w:fill="2E5496"/>
          </w:tcPr>
          <w:p>
            <w:r>
              <w:rPr>
                <w:b/>
                <w:color w:val="FFFFFF"/>
                <w:sz w:val="18"/>
              </w:rPr>
              <w:t>Joint</w:t>
            </w:r>
          </w:p>
        </w:tc>
      </w:tr>
      <w:tr>
        <w:tc>
          <w:tcPr>
            <w:tcW w:type="dxa" w:w="3600"/>
          </w:tcPr>
          <w:p>
            <w:r>
              <w:rPr>
                <w:sz w:val="17"/>
              </w:rPr>
              <w:t>Tribal-member outreach</w:t>
            </w:r>
          </w:p>
        </w:tc>
        <w:tc>
          <w:tcPr>
            <w:tcW w:type="dxa" w:w="2160"/>
          </w:tcPr>
          <w:p>
            <w:r>
              <w:rPr>
                <w:sz w:val="17"/>
              </w:rPr>
              <w:t>S</w:t>
            </w:r>
          </w:p>
        </w:tc>
        <w:tc>
          <w:tcPr>
            <w:tcW w:type="dxa" w:w="2160"/>
          </w:tcPr>
          <w:p>
            <w:r>
              <w:rPr>
                <w:sz w:val="17"/>
              </w:rPr>
              <w:t>R</w:t>
            </w:r>
          </w:p>
        </w:tc>
        <w:tc>
          <w:tcPr>
            <w:tcW w:type="dxa" w:w="2016"/>
          </w:tcPr>
          <w:p>
            <w:r>
              <w:rPr>
                <w:sz w:val="17"/>
              </w:rPr>
              <w:t>Joint messaging</w:t>
            </w:r>
          </w:p>
        </w:tc>
      </w:tr>
      <w:tr>
        <w:tc>
          <w:tcPr>
            <w:tcW w:type="dxa" w:w="3600"/>
          </w:tcPr>
          <w:p>
            <w:r>
              <w:rPr>
                <w:sz w:val="17"/>
              </w:rPr>
              <w:t>Membership verification</w:t>
            </w:r>
          </w:p>
        </w:tc>
        <w:tc>
          <w:tcPr>
            <w:tcW w:type="dxa" w:w="2160"/>
          </w:tcPr>
          <w:p>
            <w:r>
              <w:rPr>
                <w:sz w:val="17"/>
              </w:rPr>
              <w:t>S (receives confirmation only)</w:t>
            </w:r>
          </w:p>
        </w:tc>
        <w:tc>
          <w:tcPr>
            <w:tcW w:type="dxa" w:w="2160"/>
          </w:tcPr>
          <w:p>
            <w:r>
              <w:rPr>
                <w:sz w:val="17"/>
              </w:rPr>
              <w:t>R (Tribe-operated)</w:t>
            </w:r>
          </w:p>
        </w:tc>
        <w:tc>
          <w:tcPr>
            <w:tcW w:type="dxa" w:w="2016"/>
          </w:tcPr>
          <w:p>
            <w:r>
              <w:rPr>
                <w:sz w:val="17"/>
              </w:rPr>
              <w:t>—</w:t>
            </w:r>
          </w:p>
        </w:tc>
      </w:tr>
      <w:tr>
        <w:tc>
          <w:tcPr>
            <w:tcW w:type="dxa" w:w="3600"/>
          </w:tcPr>
          <w:p>
            <w:r>
              <w:rPr>
                <w:sz w:val="17"/>
              </w:rPr>
              <w:t>Community enrollment events</w:t>
            </w:r>
          </w:p>
        </w:tc>
        <w:tc>
          <w:tcPr>
            <w:tcW w:type="dxa" w:w="2160"/>
          </w:tcPr>
          <w:p>
            <w:r>
              <w:rPr>
                <w:sz w:val="17"/>
              </w:rPr>
              <w:t>S (staffing, systems)</w:t>
            </w:r>
          </w:p>
        </w:tc>
        <w:tc>
          <w:tcPr>
            <w:tcW w:type="dxa" w:w="2160"/>
          </w:tcPr>
          <w:p>
            <w:r>
              <w:rPr>
                <w:sz w:val="17"/>
              </w:rPr>
              <w:t>R (venue, member notice)</w:t>
            </w:r>
          </w:p>
        </w:tc>
        <w:tc>
          <w:tcPr>
            <w:tcW w:type="dxa" w:w="2016"/>
          </w:tcPr>
          <w:p>
            <w:r>
              <w:rPr>
                <w:sz w:val="17"/>
              </w:rPr>
              <w:t>Joint calendar</w:t>
            </w:r>
          </w:p>
        </w:tc>
      </w:tr>
      <w:tr>
        <w:tc>
          <w:tcPr>
            <w:tcW w:type="dxa" w:w="3600"/>
          </w:tcPr>
          <w:p>
            <w:r>
              <w:rPr>
                <w:sz w:val="17"/>
              </w:rPr>
              <w:t>Digital-literacy education</w:t>
            </w:r>
          </w:p>
        </w:tc>
        <w:tc>
          <w:tcPr>
            <w:tcW w:type="dxa" w:w="2160"/>
          </w:tcPr>
          <w:p>
            <w:r>
              <w:rPr>
                <w:sz w:val="17"/>
              </w:rPr>
              <w:t>S (materials, trainers)</w:t>
            </w:r>
          </w:p>
        </w:tc>
        <w:tc>
          <w:tcPr>
            <w:tcW w:type="dxa" w:w="2160"/>
          </w:tcPr>
          <w:p>
            <w:r>
              <w:rPr>
                <w:sz w:val="17"/>
              </w:rPr>
              <w:t>R (community delivery)</w:t>
            </w:r>
          </w:p>
        </w:tc>
        <w:tc>
          <w:tcPr>
            <w:tcW w:type="dxa" w:w="2016"/>
          </w:tcPr>
          <w:p>
            <w:r>
              <w:rPr>
                <w:sz w:val="17"/>
              </w:rPr>
              <w:t>Joint curriculum</w:t>
            </w:r>
          </w:p>
        </w:tc>
      </w:tr>
      <w:tr>
        <w:tc>
          <w:tcPr>
            <w:tcW w:type="dxa" w:w="3600"/>
          </w:tcPr>
          <w:p>
            <w:r>
              <w:rPr>
                <w:sz w:val="17"/>
              </w:rPr>
              <w:t>Use of Tribal facilities for enrollment assistance</w:t>
            </w:r>
          </w:p>
        </w:tc>
        <w:tc>
          <w:tcPr>
            <w:tcW w:type="dxa" w:w="2160"/>
          </w:tcPr>
          <w:p>
            <w:r>
              <w:rPr>
                <w:sz w:val="17"/>
              </w:rPr>
              <w:t>Requests access</w:t>
            </w:r>
          </w:p>
        </w:tc>
        <w:tc>
          <w:tcPr>
            <w:tcW w:type="dxa" w:w="2160"/>
          </w:tcPr>
          <w:p>
            <w:r>
              <w:rPr>
                <w:sz w:val="17"/>
              </w:rPr>
              <w:t>R (grants/schedules)</w:t>
            </w:r>
          </w:p>
        </w:tc>
        <w:tc>
          <w:tcPr>
            <w:tcW w:type="dxa" w:w="2016"/>
          </w:tcPr>
          <w:p>
            <w:r>
              <w:rPr>
                <w:sz w:val="17"/>
              </w:rPr>
              <w:t>Joint scheduling</w:t>
            </w:r>
          </w:p>
        </w:tc>
      </w:tr>
      <w:tr>
        <w:tc>
          <w:tcPr>
            <w:tcW w:type="dxa" w:w="3600"/>
          </w:tcPr>
          <w:p>
            <w:r>
              <w:rPr>
                <w:sz w:val="17"/>
              </w:rPr>
              <w:t>Data-sharing restrictions</w:t>
            </w:r>
          </w:p>
        </w:tc>
        <w:tc>
          <w:tcPr>
            <w:tcW w:type="dxa" w:w="2160"/>
          </w:tcPr>
          <w:p>
            <w:r>
              <w:rPr>
                <w:sz w:val="17"/>
              </w:rPr>
              <w:t>R (safeguards, minimization)</w:t>
            </w:r>
          </w:p>
        </w:tc>
        <w:tc>
          <w:tcPr>
            <w:tcW w:type="dxa" w:w="2160"/>
          </w:tcPr>
          <w:p>
            <w:r>
              <w:rPr>
                <w:sz w:val="17"/>
              </w:rPr>
              <w:t>R (roster control)</w:t>
            </w:r>
          </w:p>
        </w:tc>
        <w:tc>
          <w:tcPr>
            <w:tcW w:type="dxa" w:w="2016"/>
          </w:tcPr>
          <w:p>
            <w:r>
              <w:rPr>
                <w:sz w:val="17"/>
              </w:rPr>
              <w:t>Joint DPA [PLACEHOLDER — LEGAL REVIEW REQUIRED]</w:t>
            </w:r>
          </w:p>
        </w:tc>
      </w:tr>
      <w:tr>
        <w:tc>
          <w:tcPr>
            <w:tcW w:type="dxa" w:w="3600"/>
          </w:tcPr>
          <w:p>
            <w:r>
              <w:rPr>
                <w:sz w:val="17"/>
              </w:rPr>
              <w:t>Funding of any additional Tribal discount</w:t>
            </w:r>
          </w:p>
        </w:tc>
        <w:tc>
          <w:tcPr>
            <w:tcW w:type="dxa" w:w="2160"/>
          </w:tcPr>
          <w:p>
            <w:r>
              <w:rPr>
                <w:sz w:val="17"/>
              </w:rPr>
              <w:t>S (billing/settlement)</w:t>
            </w:r>
          </w:p>
        </w:tc>
        <w:tc>
          <w:tcPr>
            <w:tcW w:type="dxa" w:w="2160"/>
          </w:tcPr>
          <w:p>
            <w:r>
              <w:rPr>
                <w:sz w:val="17"/>
              </w:rPr>
              <w:t>R (funds, if elected) [PLACEHOLDER — LEGAL REVIEW REQUIRED]</w:t>
            </w:r>
          </w:p>
        </w:tc>
        <w:tc>
          <w:tcPr>
            <w:tcW w:type="dxa" w:w="2016"/>
          </w:tcPr>
          <w:p>
            <w:r>
              <w:rPr>
                <w:sz w:val="17"/>
              </w:rPr>
              <w:t>—</w:t>
            </w:r>
          </w:p>
        </w:tc>
      </w:tr>
      <w:tr>
        <w:tc>
          <w:tcPr>
            <w:tcW w:type="dxa" w:w="3600"/>
          </w:tcPr>
          <w:p>
            <w:r>
              <w:rPr>
                <w:sz w:val="17"/>
              </w:rPr>
              <w:t>Approval of Tribe name/logo use</w:t>
            </w:r>
          </w:p>
        </w:tc>
        <w:tc>
          <w:tcPr>
            <w:tcW w:type="dxa" w:w="2160"/>
          </w:tcPr>
          <w:p>
            <w:r>
              <w:rPr>
                <w:sz w:val="17"/>
              </w:rPr>
              <w:t>Requests approval</w:t>
            </w:r>
          </w:p>
        </w:tc>
        <w:tc>
          <w:tcPr>
            <w:tcW w:type="dxa" w:w="2160"/>
          </w:tcPr>
          <w:p>
            <w:r>
              <w:rPr>
                <w:sz w:val="17"/>
              </w:rPr>
              <w:t>R (written approval)</w:t>
            </w:r>
          </w:p>
        </w:tc>
        <w:tc>
          <w:tcPr>
            <w:tcW w:type="dxa" w:w="2016"/>
          </w:tcPr>
          <w:p>
            <w:r>
              <w:rPr>
                <w:sz w:val="17"/>
              </w:rPr>
              <w:t>—</w:t>
            </w:r>
          </w:p>
        </w:tc>
      </w:tr>
      <w:tr>
        <w:tc>
          <w:tcPr>
            <w:tcW w:type="dxa" w:w="3600"/>
          </w:tcPr>
          <w:p>
            <w:r>
              <w:rPr>
                <w:sz w:val="17"/>
              </w:rPr>
              <w:t>Joint communications</w:t>
            </w:r>
          </w:p>
        </w:tc>
        <w:tc>
          <w:tcPr>
            <w:tcW w:type="dxa" w:w="2160"/>
          </w:tcPr>
          <w:p>
            <w:r>
              <w:rPr>
                <w:sz w:val="17"/>
              </w:rPr>
              <w:t>Drafts</w:t>
            </w:r>
          </w:p>
        </w:tc>
        <w:tc>
          <w:tcPr>
            <w:tcW w:type="dxa" w:w="2160"/>
          </w:tcPr>
          <w:p>
            <w:r>
              <w:rPr>
                <w:sz w:val="17"/>
              </w:rPr>
              <w:t>Reviews/approves</w:t>
            </w:r>
          </w:p>
        </w:tc>
        <w:tc>
          <w:tcPr>
            <w:tcW w:type="dxa" w:w="2016"/>
          </w:tcPr>
          <w:p>
            <w:r>
              <w:rPr>
                <w:sz w:val="17"/>
              </w:rPr>
              <w:t>Joint sign-off</w:t>
            </w:r>
          </w:p>
        </w:tc>
      </w:tr>
      <w:tr>
        <w:tc>
          <w:tcPr>
            <w:tcW w:type="dxa" w:w="3600"/>
          </w:tcPr>
          <w:p>
            <w:r>
              <w:rPr>
                <w:sz w:val="17"/>
              </w:rPr>
              <w:t>Complaint escalation</w:t>
            </w:r>
          </w:p>
        </w:tc>
        <w:tc>
          <w:tcPr>
            <w:tcW w:type="dxa" w:w="2160"/>
          </w:tcPr>
          <w:p>
            <w:r>
              <w:rPr>
                <w:sz w:val="17"/>
              </w:rPr>
              <w:t>R (Tier-1 intake)</w:t>
            </w:r>
          </w:p>
        </w:tc>
        <w:tc>
          <w:tcPr>
            <w:tcW w:type="dxa" w:w="2160"/>
          </w:tcPr>
          <w:p>
            <w:r>
              <w:rPr>
                <w:sz w:val="17"/>
              </w:rPr>
              <w:t>S (member liaison)</w:t>
            </w:r>
          </w:p>
        </w:tc>
        <w:tc>
          <w:tcPr>
            <w:tcW w:type="dxa" w:w="2016"/>
          </w:tcPr>
          <w:p>
            <w:r>
              <w:rPr>
                <w:sz w:val="17"/>
              </w:rPr>
              <w:t>Joint escalation path</w:t>
            </w:r>
          </w:p>
        </w:tc>
      </w:tr>
      <w:tr>
        <w:tc>
          <w:tcPr>
            <w:tcW w:type="dxa" w:w="3600"/>
          </w:tcPr>
          <w:p>
            <w:r>
              <w:rPr>
                <w:sz w:val="17"/>
              </w:rPr>
              <w:t>Monthly reporting</w:t>
            </w:r>
          </w:p>
        </w:tc>
        <w:tc>
          <w:tcPr>
            <w:tcW w:type="dxa" w:w="2160"/>
          </w:tcPr>
          <w:p>
            <w:r>
              <w:rPr>
                <w:sz w:val="17"/>
              </w:rPr>
              <w:t>R (prepares metrics)</w:t>
            </w:r>
          </w:p>
        </w:tc>
        <w:tc>
          <w:tcPr>
            <w:tcW w:type="dxa" w:w="2160"/>
          </w:tcPr>
          <w:p>
            <w:r>
              <w:rPr>
                <w:sz w:val="17"/>
              </w:rPr>
              <w:t>Reviews</w:t>
            </w:r>
          </w:p>
        </w:tc>
        <w:tc>
          <w:tcPr>
            <w:tcW w:type="dxa" w:w="2016"/>
          </w:tcPr>
          <w:p>
            <w:r>
              <w:rPr>
                <w:sz w:val="17"/>
              </w:rPr>
              <w:t>Joint review meeting</w:t>
            </w:r>
          </w:p>
        </w:tc>
      </w:tr>
      <w:tr>
        <w:tc>
          <w:tcPr>
            <w:tcW w:type="dxa" w:w="3600"/>
          </w:tcPr>
          <w:p>
            <w:r>
              <w:rPr>
                <w:sz w:val="17"/>
              </w:rPr>
              <w:t>Audit rights</w:t>
            </w:r>
          </w:p>
        </w:tc>
        <w:tc>
          <w:tcPr>
            <w:tcW w:type="dxa" w:w="2160"/>
          </w:tcPr>
          <w:p>
            <w:r>
              <w:rPr>
                <w:sz w:val="17"/>
              </w:rPr>
              <w:t>Provides records</w:t>
            </w:r>
          </w:p>
        </w:tc>
        <w:tc>
          <w:tcPr>
            <w:tcW w:type="dxa" w:w="2160"/>
          </w:tcPr>
          <w:p>
            <w:r>
              <w:rPr>
                <w:sz w:val="17"/>
              </w:rPr>
              <w:t>R (audit of shared program)</w:t>
            </w:r>
          </w:p>
        </w:tc>
        <w:tc>
          <w:tcPr>
            <w:tcW w:type="dxa" w:w="2016"/>
          </w:tcPr>
          <w:p>
            <w:r>
              <w:rPr>
                <w:sz w:val="17"/>
              </w:rPr>
              <w:t>Joint scope [PLACEHOLDER — LEGAL REVIEW REQUIRED]</w:t>
            </w:r>
          </w:p>
        </w:tc>
      </w:tr>
      <w:tr>
        <w:tc>
          <w:tcPr>
            <w:tcW w:type="dxa" w:w="3600"/>
          </w:tcPr>
          <w:p>
            <w:r>
              <w:rPr>
                <w:sz w:val="17"/>
              </w:rPr>
              <w:t>Program evaluation</w:t>
            </w:r>
          </w:p>
        </w:tc>
        <w:tc>
          <w:tcPr>
            <w:tcW w:type="dxa" w:w="2160"/>
          </w:tcPr>
          <w:p>
            <w:r>
              <w:rPr>
                <w:sz w:val="17"/>
              </w:rPr>
              <w:t>S (data)</w:t>
            </w:r>
          </w:p>
        </w:tc>
        <w:tc>
          <w:tcPr>
            <w:tcW w:type="dxa" w:w="2160"/>
          </w:tcPr>
          <w:p>
            <w:r>
              <w:rPr>
                <w:sz w:val="17"/>
              </w:rPr>
              <w:t>S (member input)</w:t>
            </w:r>
          </w:p>
        </w:tc>
        <w:tc>
          <w:tcPr>
            <w:tcW w:type="dxa" w:w="2016"/>
          </w:tcPr>
          <w:p>
            <w:r>
              <w:rPr>
                <w:sz w:val="17"/>
              </w:rPr>
              <w:t>Joint annual review</w:t>
            </w:r>
          </w:p>
        </w:tc>
      </w:tr>
    </w:tbl>
    <w:p>
      <w:r>
        <w:rPr>
          <w:b w:val="0"/>
          <w:i/>
          <w:color w:val="595959"/>
          <w:sz w:val="18"/>
        </w:rPr>
        <w:t>Role letters and any funding role above are non-binding drafting placeholders subject to counsel review and to the Tribe's election whether to fund a benefit at all.</w:t>
      </w:r>
    </w:p>
    <w:p>
      <w:pPr>
        <w:pStyle w:val="Heading1"/>
      </w:pPr>
      <w:r>
        <w:t>5. Critical Compliance Clause — Lifeline Eligibility Is Address-Based</w:t>
      </w:r>
    </w:p>
    <w:tbl>
      <w:tblPr>
        <w:tblW w:type="auto" w:w="0"/>
        <w:jc w:val="center"/>
        <w:tblLook w:firstColumn="1" w:firstRow="1" w:lastColumn="0" w:lastRow="0" w:noHBand="0" w:noVBand="1" w:val="04A0"/>
      </w:tblPr>
      <w:tblGrid>
        <w:gridCol w:w="8640"/>
      </w:tblGrid>
      <w:tr>
        <w:tc>
          <w:tcPr>
            <w:tcW w:type="dxa" w:w="8640"/>
            <w:shd w:val="clear" w:fill="F8CBAD"/>
          </w:tcPr>
          <w:p>
            <w:r>
              <w:rPr>
                <w:b/>
                <w:color w:val="C00000"/>
                <w:sz w:val="20"/>
              </w:rPr>
              <w:t>⛔ TRIBAL MEMBERSHIP DOES NOT ESTABLISH ENHANCED TRIBAL LIFELINE ELIGIBILITY. The Parties expressly acknowledge and agree that neither enrollment in the Tribe nor residence within the four-county service delivery area, by itself, qualifies any person for the enhanced Tribal Lifeline benefit.</w:t>
            </w:r>
          </w:p>
        </w:tc>
      </w:tr>
    </w:tbl>
    <w:p>
      <w:r>
        <w:rPr>
          <w:b w:val="0"/>
          <w:i w:val="0"/>
          <w:sz w:val="21"/>
        </w:rPr>
        <w:t>The Parties acknowledge and agree that:</w:t>
      </w:r>
    </w:p>
    <w:p>
      <w:pPr>
        <w:pStyle w:val="ListBullet"/>
      </w:pPr>
      <w:r>
        <w:t>The enhanced federal Tribal Lifeline benefit requires the subscriber's principal residence to be physically located on qualifying "Tribal lands" as defined at 47 C.F.R. §54.400(e), and is not conferred by Tribal membership (SR-4.2, SR-5.6).</w:t>
      </w:r>
    </w:p>
    <w:p>
      <w:pPr>
        <w:pStyle w:val="ListBullet"/>
      </w:pPr>
      <w:r>
        <w:t>Qualifying-address status must be verified on a per-applicant basis using USAC's Tribal Lands Verification Tool; the NLAD Tribal benefit flag is set only for verified addresses (SR-4.4, SR-5).</w:t>
      </w:r>
    </w:p>
    <w:p>
      <w:pPr>
        <w:pStyle w:val="ListBullet"/>
      </w:pPr>
      <w:r>
        <w:t>As of the date of this draft, the Tribe has no reservation, no land held in trust, and no FCC §54.412 off-reservation designation; therefore addresses in the four counties are not presumptively Tribal lands and do not qualify for the enhanced benefit by default (SR-5.5). [PLACEHOLDER — LEGAL REVIEW REQUIRED] (confirm current §54.412 / trust status with USAC/FCC ONAP and BIA).</w:t>
      </w:r>
    </w:p>
    <w:p>
      <w:pPr>
        <w:pStyle w:val="ListBullet"/>
      </w:pPr>
      <w:r>
        <w:t>Any Tribe-funded benefit contemplated by this MOU is a SEPARATE, Tribe-funded affordability contribution. It is not a federal benefit, is not represented to members as a federal benefit, and is accounted for separately from federal Lifeline support and grant funds (SR-10.2).</w:t>
      </w:r>
    </w:p>
    <w:p>
      <w:r>
        <w:rPr>
          <w:b/>
          <w:i w:val="0"/>
          <w:sz w:val="21"/>
        </w:rPr>
        <w:t>Neither Party will represent to any member, applicant, or the public that Tribal membership or four-county residence establishes enhanced Tribal Lifeline eligibility.</w:t>
      </w:r>
    </w:p>
    <w:p>
      <w:pPr>
        <w:pStyle w:val="Heading1"/>
      </w:pPr>
      <w:r>
        <w:t>6. Privacy-Preserving Membership Verification</w:t>
      </w:r>
    </w:p>
    <w:p>
      <w:r>
        <w:rPr>
          <w:b w:val="0"/>
          <w:i w:val="0"/>
          <w:sz w:val="21"/>
        </w:rPr>
        <w:t>The Parties intend to confirm Tribal membership for program purposes WITHOUT the Tribe transferring its full membership roll to RIVR Tech. The specific method will be finalized by counsel and the Tribe's enrollment office ([PLACEHOLDER — LEGAL REVIEW REQUIRED]), and is expected to use one or more of the following privacy-preserving approaches:</w:t>
      </w:r>
    </w:p>
    <w:p>
      <w:pPr>
        <w:pStyle w:val="ListBullet"/>
      </w:pPr>
      <w:r>
        <w:t>Tribe-operated verification: an applicant presents to the Tribe (or a Tribe-designated portal), and the Tribe returns to RIVR Tech only a per-applicant yes/no confirmation of membership.</w:t>
      </w:r>
    </w:p>
    <w:p>
      <w:pPr>
        <w:pStyle w:val="ListBullet"/>
      </w:pPr>
      <w:r>
        <w:t>Applicant attestation with Tribal confirmation: the applicant attests to membership and the Tribe confirms individual records on a case-by-case basis.</w:t>
      </w:r>
    </w:p>
    <w:p>
      <w:pPr>
        <w:pStyle w:val="ListBullet"/>
      </w:pPr>
      <w:r>
        <w:t>Hashed / tokenized match: matching on a one-way hashed identifier so that no readable roster is transferred to RIVR Tech.</w:t>
      </w:r>
    </w:p>
    <w:p>
      <w:pPr>
        <w:pStyle w:val="Heading2"/>
      </w:pPr>
      <w:r>
        <w:t>6.1 Data-handling commitments</w:t>
      </w:r>
    </w:p>
    <w:p>
      <w:pPr>
        <w:pStyle w:val="ListBullet"/>
      </w:pPr>
      <w:r>
        <w:t>Data minimization: only the minimum fields necessary for the confirmation are exchanged.</w:t>
      </w:r>
    </w:p>
    <w:p>
      <w:pPr>
        <w:pStyle w:val="ListBullet"/>
      </w:pPr>
      <w:r>
        <w:t>Consent: no member/applicant information is processed without the individual's informed, documented consent.</w:t>
      </w:r>
    </w:p>
    <w:p>
      <w:pPr>
        <w:pStyle w:val="ListBullet"/>
      </w:pPr>
      <w:r>
        <w:t>Purpose limitation: eligibility and membership data are used ONLY for this program and NOT for unrelated marketing, resale, or any secondary purpose.</w:t>
      </w:r>
    </w:p>
    <w:p>
      <w:pPr>
        <w:pStyle w:val="ListBullet"/>
      </w:pPr>
      <w:r>
        <w:t>Security &amp; retention: safeguards, breach notification, and retention limits to be set in a Data Processing Addendum ([PLACEHOLDER — LEGAL REVIEW REQUIRED]).</w:t>
      </w:r>
    </w:p>
    <w:p>
      <w:pPr>
        <w:pStyle w:val="ListBullet"/>
      </w:pPr>
      <w:r>
        <w:t>Tribal control: the Tribe retains ownership and control of its membership records at all times; RIVR Tech receives confirmations, not the roll.</w:t>
      </w:r>
    </w:p>
    <w:p>
      <w:pPr>
        <w:pStyle w:val="Heading1"/>
      </w:pPr>
      <w:r>
        <w:t>7. Funding &amp; Settlement (Placeholders — No Binding Commitment)</w:t>
      </w:r>
    </w:p>
    <w:tbl>
      <w:tblPr>
        <w:tblW w:type="auto" w:w="0"/>
        <w:jc w:val="center"/>
        <w:tblLook w:firstColumn="1" w:firstRow="1" w:lastColumn="0" w:lastRow="0" w:noHBand="0" w:noVBand="1" w:val="04A0"/>
      </w:tblPr>
      <w:tblGrid>
        <w:gridCol w:w="8640"/>
      </w:tblGrid>
      <w:tr>
        <w:tc>
          <w:tcPr>
            <w:tcW w:type="dxa" w:w="8640"/>
            <w:shd w:val="clear" w:fill="FCE4D6"/>
          </w:tcPr>
          <w:p>
            <w:r>
              <w:rPr>
                <w:b/>
                <w:color w:val="C00000"/>
                <w:sz w:val="20"/>
              </w:rPr>
              <w:t>⚠ No binding financial commitment is created by this draft. All amounts, rates, and mechanics in this Section are placeholders subject to the Tribe's election and to counsel review.</w:t>
            </w:r>
          </w:p>
        </w:tc>
      </w:tr>
    </w:tbl>
    <w:p>
      <w:r>
        <w:rPr>
          <w:b w:val="0"/>
          <w:i w:val="0"/>
          <w:sz w:val="21"/>
        </w:rPr>
        <w:t>If, and only if, the Tribe elects to fund an additional consumer discount, the Parties anticipate the following framework:</w:t>
      </w:r>
    </w:p>
    <w:p>
      <w:pPr>
        <w:pStyle w:val="ListNumber"/>
      </w:pPr>
      <w:r>
        <w:t>Discount amount: [PLACEHOLDER — LEGAL REVIEW REQUIRED] per eligible household per month, funded solely by the Tribe.</w:t>
      </w:r>
    </w:p>
    <w:p>
      <w:pPr>
        <w:pStyle w:val="ListNumber"/>
      </w:pPr>
      <w:r>
        <w:t>Invoicing: RIVR Tech invoices the Tribe monthly for the aggregate Tribe-funded discount actually applied to member bills, with supporting detail ([PLACEHOLDER — LEGAL REVIEW REQUIRED] format).</w:t>
      </w:r>
    </w:p>
    <w:p>
      <w:pPr>
        <w:pStyle w:val="ListNumber"/>
      </w:pPr>
      <w:r>
        <w:t>Settlement &amp; reconciliation: the Tribe remits within [PLACEHOLDER — LEGAL REVIEW REQUIRED] days; the Parties reconcile monthly and true-up any discrepancies.</w:t>
      </w:r>
    </w:p>
    <w:p>
      <w:pPr>
        <w:pStyle w:val="ListNumber"/>
      </w:pPr>
      <w:r>
        <w:t>Separate accounting: the Tribe-funded contribution is booked in a separate GL category and is NOT commingled with (a) federal Lifeline support (USAC), (b) TBCP or other grant funds, or (c) RIVR-funded discounts (SR-10.2).</w:t>
      </w:r>
    </w:p>
    <w:p>
      <w:pPr>
        <w:pStyle w:val="ListNumber"/>
      </w:pPr>
      <w:r>
        <w:t>Grant-funds restriction: Tribal Broadband Connectivity Program (TBCP) funds are NOT used as a recurring consumer subsidy unless the specific award and grant terms expressly authorize that use (SR-10.1).</w:t>
      </w:r>
    </w:p>
    <w:p>
      <w:pPr>
        <w:pStyle w:val="ListNumber"/>
      </w:pPr>
      <w:r>
        <w:t>No offset against federal benefit: any Tribe-funded discount is applied transparently and does not reduce, replace, or offset the member's federal Lifeline benefit.</w:t>
      </w:r>
    </w:p>
    <w:p>
      <w:r>
        <w:rPr>
          <w:b w:val="0"/>
          <w:i/>
          <w:color w:val="595959"/>
          <w:sz w:val="18"/>
        </w:rPr>
        <w:t>This Section does not obligate the Tribe to provide any funding and does not obligate RIVR Tech to provide any service at a particular price.</w:t>
      </w:r>
    </w:p>
    <w:p>
      <w:pPr>
        <w:pStyle w:val="Heading1"/>
      </w:pPr>
      <w:r>
        <w:t>8. Name, Logo &amp; Branding Approval</w:t>
      </w:r>
    </w:p>
    <w:p>
      <w:r>
        <w:rPr>
          <w:b w:val="0"/>
          <w:i w:val="0"/>
          <w:sz w:val="21"/>
        </w:rPr>
        <w:t>RIVR Tech will not use the Tribe's name, seal, logo, marks, or any indicia of Tribal affiliation or endorsement in any material, communication, advertisement, or website without the Tribe's prior WRITTEN approval, which the Tribe may grant, condition, or withhold in its sole discretion.</w:t>
      </w:r>
    </w:p>
    <w:p>
      <w:pPr>
        <w:pStyle w:val="ListBullet"/>
      </w:pPr>
      <w:r>
        <w:t>Each proposed use is submitted to the Tribe's designated contact for review ([PLACEHOLDER — LEGAL REVIEW REQUIRED] review turnaround).</w:t>
      </w:r>
    </w:p>
    <w:p>
      <w:pPr>
        <w:pStyle w:val="ListBullet"/>
      </w:pPr>
      <w:r>
        <w:t>The Tribe may revoke approval prospectively; RIVR Tech will cease the affected use within a reasonable, agreed period.</w:t>
      </w:r>
    </w:p>
    <w:p>
      <w:pPr>
        <w:pStyle w:val="ListBullet"/>
      </w:pPr>
      <w:r>
        <w:t>This Section respects the Tribe's sovereignty and control over its identity and does not grant RIVR Tech any license except as expressly approved in writing.</w:t>
      </w:r>
    </w:p>
    <w:p>
      <w:pPr>
        <w:pStyle w:val="Heading1"/>
      </w:pPr>
      <w:r>
        <w:t>9. Joint Communications &amp; Complaint Escalation</w:t>
      </w:r>
    </w:p>
    <w:p>
      <w:pPr>
        <w:pStyle w:val="Heading2"/>
      </w:pPr>
      <w:r>
        <w:t>9.1 Joint communications</w:t>
      </w:r>
    </w:p>
    <w:p>
      <w:pPr>
        <w:pStyle w:val="ListBullet"/>
      </w:pPr>
      <w:r>
        <w:t>Member-facing communications about the program are drafted by RIVR Tech and reviewed and approved by the Tribe before release.</w:t>
      </w:r>
    </w:p>
    <w:p>
      <w:pPr>
        <w:pStyle w:val="ListBullet"/>
      </w:pPr>
      <w:r>
        <w:t>Communications are accurate and non-deceptive, and clearly distinguish federal Lifeline benefits from any Tribe-funded contribution (see Section 5).</w:t>
      </w:r>
    </w:p>
    <w:p>
      <w:pPr>
        <w:pStyle w:val="Heading2"/>
      </w:pPr>
      <w:r>
        <w:t>9.2 Complaint escalation</w:t>
      </w:r>
    </w:p>
    <w:p>
      <w:pPr>
        <w:pStyle w:val="ListNumber"/>
      </w:pPr>
      <w:r>
        <w:t>Tier 1 — RIVR Tech intake: RIVR Tech logs and acknowledges member complaints within [PLACEHOLDER — LEGAL REVIEW REQUIRED] and attempts first-contact resolution.</w:t>
      </w:r>
    </w:p>
    <w:p>
      <w:pPr>
        <w:pStyle w:val="ListNumber"/>
      </w:pPr>
      <w:r>
        <w:t>Tier 2 — Tribal liaison: unresolved or Tribe-sensitive complaints are escalated to the Tribe's designated liaison for coordinated handling.</w:t>
      </w:r>
    </w:p>
    <w:p>
      <w:pPr>
        <w:pStyle w:val="ListNumber"/>
      </w:pPr>
      <w:r>
        <w:t>Tier 3 — Joint escalation: material or unresolved matters are escalated to the Executive Sponsors of both Parties.</w:t>
      </w:r>
    </w:p>
    <w:p>
      <w:pPr>
        <w:pStyle w:val="ListNumber"/>
      </w:pPr>
      <w:r>
        <w:t>Regulatory complaints: nothing in this process limits a member's right to complain to the FCC, USAC, or the NCUC.</w:t>
      </w:r>
    </w:p>
    <w:p>
      <w:pPr>
        <w:pStyle w:val="Heading1"/>
      </w:pPr>
      <w:r>
        <w:t>10. Reporting, Audit Rights &amp; Program Evaluation</w:t>
      </w:r>
    </w:p>
    <w:p>
      <w:pPr>
        <w:pStyle w:val="Heading2"/>
      </w:pPr>
      <w:r>
        <w:t>10.1 Monthly reporting</w:t>
      </w:r>
    </w:p>
    <w:p>
      <w:r>
        <w:rPr>
          <w:b w:val="0"/>
          <w:i w:val="0"/>
          <w:sz w:val="21"/>
        </w:rPr>
        <w:t>RIVR Tech provides the Tribe a monthly program report including (metrics to be finalized, [PLACEHOLDER — LEGAL REVIEW REQUIRED]):</w:t>
      </w:r>
    </w:p>
    <w:p>
      <w:pPr>
        <w:pStyle w:val="ListBullet"/>
      </w:pPr>
      <w:r>
        <w:t>Members reached via outreach and enrollment events held.</w:t>
      </w:r>
    </w:p>
    <w:p>
      <w:pPr>
        <w:pStyle w:val="ListBullet"/>
      </w:pPr>
      <w:r>
        <w:t>Applications received, approved, and pending (program-level counts, not federal eligibility determinations).</w:t>
      </w:r>
    </w:p>
    <w:p>
      <w:pPr>
        <w:pStyle w:val="ListBullet"/>
      </w:pPr>
      <w:r>
        <w:t>Households receiving any Tribe-funded discount and aggregate Tribe-funded amount.</w:t>
      </w:r>
    </w:p>
    <w:p>
      <w:pPr>
        <w:pStyle w:val="ListBullet"/>
      </w:pPr>
      <w:r>
        <w:t>Complaints received, resolved, and open; escalations.</w:t>
      </w:r>
    </w:p>
    <w:p>
      <w:pPr>
        <w:pStyle w:val="ListBullet"/>
      </w:pPr>
      <w:r>
        <w:t>Digital-literacy sessions delivered and attendance.</w:t>
      </w:r>
    </w:p>
    <w:p>
      <w:pPr>
        <w:pStyle w:val="Heading2"/>
      </w:pPr>
      <w:r>
        <w:t>10.2 Audit rights</w:t>
      </w:r>
    </w:p>
    <w:p>
      <w:pPr>
        <w:pStyle w:val="ListBullet"/>
      </w:pPr>
      <w:r>
        <w:t>The Tribe may audit records relating to the shared program and to any Tribe-funded contribution, on reasonable notice, at reasonable times (scope [PLACEHOLDER — LEGAL REVIEW REQUIRED]).</w:t>
      </w:r>
    </w:p>
    <w:p>
      <w:pPr>
        <w:pStyle w:val="ListBullet"/>
      </w:pPr>
      <w:r>
        <w:t>Audits are limited to program records and do not extend to RIVR Tech's unrelated business or to federal Lifeline claims records governed separately by USAC/FCC.</w:t>
      </w:r>
    </w:p>
    <w:p>
      <w:pPr>
        <w:pStyle w:val="Heading2"/>
      </w:pPr>
      <w:r>
        <w:t>10.3 Program evaluation</w:t>
      </w:r>
    </w:p>
    <w:p>
      <w:r>
        <w:rPr>
          <w:b w:val="0"/>
          <w:i w:val="0"/>
          <w:sz w:val="21"/>
        </w:rPr>
        <w:t>The Parties conduct an annual joint evaluation assessing reach, affordability impact, member satisfaction, and privacy compliance, and use the findings to adjust the program by mutual agreement.</w:t>
      </w:r>
    </w:p>
    <w:p>
      <w:pPr>
        <w:pStyle w:val="Heading1"/>
      </w:pPr>
      <w:r>
        <w:t>11. Term, Termination &amp; Amendment</w:t>
      </w:r>
    </w:p>
    <w:p>
      <w:pPr>
        <w:pStyle w:val="ListBullet"/>
      </w:pPr>
      <w:r>
        <w:t>Term: this MOU takes effect on the Effective Date and continues for [PLACEHOLDER — LEGAL REVIEW REQUIRED] unless earlier terminated.</w:t>
      </w:r>
    </w:p>
    <w:p>
      <w:pPr>
        <w:pStyle w:val="ListBullet"/>
      </w:pPr>
      <w:r>
        <w:t>Termination for convenience: either Party may terminate on [PLACEHOLDER — LEGAL REVIEW REQUIRED] days' written notice.</w:t>
      </w:r>
    </w:p>
    <w:p>
      <w:pPr>
        <w:pStyle w:val="ListBullet"/>
      </w:pPr>
      <w:r>
        <w:t>Termination for cause: either Party may terminate on material breach uncured within [PLACEHOLDER — LEGAL REVIEW REQUIRED] days of written notice.</w:t>
      </w:r>
    </w:p>
    <w:p>
      <w:pPr>
        <w:pStyle w:val="ListBullet"/>
      </w:pPr>
      <w:r>
        <w:t>Wind-down: on termination, the Parties cooperate on an orderly transition, cease branding use, and reconcile any outstanding Tribe-funded amounts; data-handling and confidentiality obligations survive.</w:t>
      </w:r>
    </w:p>
    <w:p>
      <w:pPr>
        <w:pStyle w:val="ListBullet"/>
      </w:pPr>
      <w:r>
        <w:t>Amendment: this MOU may be amended only by a written instrument signed by authorized officials of both Parties.</w:t>
      </w:r>
    </w:p>
    <w:p>
      <w:pPr>
        <w:pStyle w:val="Heading1"/>
      </w:pPr>
      <w:r>
        <w:t>12. Non-Waiver of Sovereign Immunity; Dispute Resolution; Governing Law</w:t>
      </w:r>
    </w:p>
    <w:tbl>
      <w:tblPr>
        <w:tblW w:type="auto" w:w="0"/>
        <w:jc w:val="center"/>
        <w:tblLook w:firstColumn="1" w:firstRow="1" w:lastColumn="0" w:lastRow="0" w:noHBand="0" w:noVBand="1" w:val="04A0"/>
      </w:tblPr>
      <w:tblGrid>
        <w:gridCol w:w="8640"/>
      </w:tblGrid>
      <w:tr>
        <w:tc>
          <w:tcPr>
            <w:tcW w:type="dxa" w:w="8640"/>
            <w:shd w:val="clear" w:fill="F8CBAD"/>
          </w:tcPr>
          <w:p>
            <w:r>
              <w:rPr>
                <w:b/>
                <w:color w:val="C00000"/>
                <w:sz w:val="20"/>
              </w:rPr>
              <w:t>⛔ EXPRESS NON-WAIVER OF SOVEREIGN IMMUNITY. Nothing in this MOU constitutes, and this MOU shall not be construed as, a waiver — express, implied, or by operation of law — of the sovereign immunity of the Lumbee Tribe of North Carolina, its officials, employees, agents, instrumentalities, or enterprises. No officer, employee, or agent of the Tribe has authority to waive the Tribe's sovereign immunity except by an express, written waiver duly authorized and adopted by the governing body of the Tribe in accordance with Tribal law. No such waiver is granted, intended, or implied by this MOU. Any limited waiver, if ever granted, would be set forth only in a separate, express written instrument and would be strictly construed.</w:t>
            </w:r>
          </w:p>
        </w:tc>
      </w:tr>
    </w:tbl>
    <w:p>
      <w:pPr>
        <w:pStyle w:val="Heading2"/>
      </w:pPr>
      <w:r>
        <w:t>12.1 Dispute resolution</w:t>
      </w:r>
    </w:p>
    <w:p>
      <w:r>
        <w:rPr>
          <w:b w:val="0"/>
          <w:i w:val="0"/>
          <w:sz w:val="21"/>
        </w:rPr>
        <w:t>The Parties will first attempt to resolve any dispute through good-faith negotiation between their Executive Sponsors, followed by [PLACEHOLDER — LEGAL REVIEW REQUIRED] (e.g., non-binding mediation), without prejudice to the non-waiver provision above. The dispute-resolution mechanism, forum, and any consent (or absence of consent) to any forum are [PLACEHOLDER — LEGAL REVIEW REQUIRED] and subject to the Tribe's sovereign immunity, which is expressly not waived.</w:t>
      </w:r>
    </w:p>
    <w:p>
      <w:pPr>
        <w:pStyle w:val="Heading2"/>
      </w:pPr>
      <w:r>
        <w:t>12.2 Governing law</w:t>
      </w:r>
    </w:p>
    <w:p>
      <w:r>
        <w:rPr>
          <w:b w:val="0"/>
          <w:i w:val="0"/>
          <w:sz w:val="21"/>
        </w:rPr>
        <w:t>Governing law is [PLACEHOLDER — LEGAL REVIEW REQUIRED]. The Parties acknowledge that application of any body of law does not, by itself, waive the Tribe's sovereign immunity, and any question of Tribal law and jurisdiction is reserved to the Tribe.</w:t>
      </w:r>
    </w:p>
    <w:p>
      <w:pPr>
        <w:pStyle w:val="Heading2"/>
      </w:pPr>
      <w:r>
        <w:t>12.3 No third-party beneficiaries; independent parties</w:t>
      </w:r>
    </w:p>
    <w:p>
      <w:pPr>
        <w:pStyle w:val="ListBullet"/>
      </w:pPr>
      <w:r>
        <w:t>This MOU creates no rights in any third party, including members or applicants.</w:t>
      </w:r>
    </w:p>
    <w:p>
      <w:pPr>
        <w:pStyle w:val="ListBullet"/>
      </w:pPr>
      <w:r>
        <w:t>The Parties are independent; nothing herein creates a partnership, joint venture, agency, or employment relationship.</w:t>
      </w:r>
    </w:p>
    <w:p>
      <w:pPr>
        <w:pStyle w:val="ListBullet"/>
      </w:pPr>
      <w:r>
        <w:t>This MOU is non-binding except for any provisions the Parties expressly designate as binding in the executed version ([PLACEHOLDER — LEGAL REVIEW REQUIRED]).</w:t>
      </w:r>
    </w:p>
    <w:p>
      <w:pPr>
        <w:pStyle w:val="Heading1"/>
      </w:pPr>
      <w:r>
        <w:t>13. Signatures</w:t>
      </w:r>
    </w:p>
    <w:tbl>
      <w:tblPr>
        <w:tblW w:type="auto" w:w="0"/>
        <w:jc w:val="center"/>
        <w:tblLook w:firstColumn="1" w:firstRow="1" w:lastColumn="0" w:lastRow="0" w:noHBand="0" w:noVBand="1" w:val="04A0"/>
      </w:tblPr>
      <w:tblGrid>
        <w:gridCol w:w="8640"/>
      </w:tblGrid>
      <w:tr>
        <w:tc>
          <w:tcPr>
            <w:tcW w:type="dxa" w:w="8640"/>
            <w:shd w:val="clear" w:fill="D9E1F2"/>
          </w:tcPr>
          <w:p>
            <w:r>
              <w:rPr>
                <w:color w:val="2E5496"/>
                <w:sz w:val="20"/>
              </w:rPr>
              <w:t>ⓘ This MOU is not effective until executed by DULY AUTHORIZED officials of both Parties. For the Tribe, execution must be by an authorized Tribal official acting pursuant to Tribal law and any required action of the Tribe's governing body. Names, titles, and dates below are placeholders.</w:t>
            </w:r>
          </w:p>
        </w:tc>
      </w:tr>
    </w:tbl>
    <w:p>
      <w:r>
        <w:rPr>
          <w:b/>
          <w:i w:val="0"/>
          <w:sz w:val="21"/>
        </w:rPr>
        <w:t>LREMC TECHNOLOGIES, LLC d/b/a RIVR TECH</w:t>
      </w:r>
    </w:p>
    <w:tbl>
      <w:tblPr>
        <w:tblStyle w:val="TableGrid"/>
        <w:tblW w:type="auto" w:w="0"/>
        <w:jc w:val="center"/>
        <w:tblLook w:firstColumn="1" w:firstRow="1" w:lastColumn="0" w:lastRow="0" w:noHBand="0" w:noVBand="1" w:val="04A0"/>
      </w:tblPr>
      <w:tblGrid>
        <w:gridCol w:w="4320"/>
        <w:gridCol w:w="4320"/>
      </w:tblGrid>
      <w:tr>
        <w:tc>
          <w:tcPr>
            <w:tcW w:type="dxa" w:w="2880"/>
            <w:shd w:val="clear" w:fill="2E5496"/>
          </w:tcPr>
          <w:p>
            <w:r>
              <w:rPr>
                <w:b/>
                <w:color w:val="FFFFFF"/>
                <w:sz w:val="19"/>
              </w:rPr>
              <w:t>Field</w:t>
            </w:r>
          </w:p>
        </w:tc>
        <w:tc>
          <w:tcPr>
            <w:tcW w:type="dxa" w:w="6480"/>
            <w:shd w:val="clear" w:fill="2E5496"/>
          </w:tcPr>
          <w:p>
            <w:r>
              <w:rPr>
                <w:b/>
                <w:color w:val="FFFFFF"/>
                <w:sz w:val="19"/>
              </w:rPr>
              <w:t>Entry</w:t>
            </w:r>
          </w:p>
        </w:tc>
      </w:tr>
      <w:tr>
        <w:tc>
          <w:tcPr>
            <w:tcW w:type="dxa" w:w="2880"/>
          </w:tcPr>
          <w:p>
            <w:r>
              <w:rPr>
                <w:sz w:val="19"/>
              </w:rPr>
              <w:t>By (signature)</w:t>
            </w:r>
          </w:p>
        </w:tc>
        <w:tc>
          <w:tcPr>
            <w:tcW w:type="dxa" w:w="6480"/>
          </w:tcPr>
          <w:p>
            <w:r>
              <w:rPr>
                <w:sz w:val="19"/>
              </w:rPr>
              <w:t>________________________________</w:t>
            </w:r>
          </w:p>
        </w:tc>
      </w:tr>
      <w:tr>
        <w:tc>
          <w:tcPr>
            <w:tcW w:type="dxa" w:w="2880"/>
          </w:tcPr>
          <w:p>
            <w:r>
              <w:rPr>
                <w:sz w:val="19"/>
              </w:rPr>
              <w:t>Name</w:t>
            </w:r>
          </w:p>
        </w:tc>
        <w:tc>
          <w:tcPr>
            <w:tcW w:type="dxa" w:w="6480"/>
          </w:tcPr>
          <w:p>
            <w:r>
              <w:rPr>
                <w:sz w:val="19"/>
              </w:rPr>
              <w:t>[PLACEHOLDER — LEGAL REVIEW REQUIRED]</w:t>
            </w:r>
          </w:p>
        </w:tc>
      </w:tr>
      <w:tr>
        <w:tc>
          <w:tcPr>
            <w:tcW w:type="dxa" w:w="2880"/>
          </w:tcPr>
          <w:p>
            <w:r>
              <w:rPr>
                <w:sz w:val="19"/>
              </w:rPr>
              <w:t>Title</w:t>
            </w:r>
          </w:p>
        </w:tc>
        <w:tc>
          <w:tcPr>
            <w:tcW w:type="dxa" w:w="6480"/>
          </w:tcPr>
          <w:p>
            <w:r>
              <w:rPr>
                <w:sz w:val="19"/>
              </w:rPr>
              <w:t>[PLACEHOLDER — LEGAL REVIEW REQUIRED]</w:t>
            </w:r>
          </w:p>
        </w:tc>
      </w:tr>
      <w:tr>
        <w:tc>
          <w:tcPr>
            <w:tcW w:type="dxa" w:w="2880"/>
          </w:tcPr>
          <w:p>
            <w:r>
              <w:rPr>
                <w:sz w:val="19"/>
              </w:rPr>
              <w:t>Date</w:t>
            </w:r>
          </w:p>
        </w:tc>
        <w:tc>
          <w:tcPr>
            <w:tcW w:type="dxa" w:w="6480"/>
          </w:tcPr>
          <w:p>
            <w:r>
              <w:rPr>
                <w:sz w:val="19"/>
              </w:rPr>
              <w:t>[PLACEHOLDER — LEGAL REVIEW REQUIRED]</w:t>
            </w:r>
          </w:p>
        </w:tc>
      </w:tr>
    </w:tbl>
    <w:p/>
    <w:p>
      <w:r>
        <w:rPr>
          <w:b/>
          <w:i w:val="0"/>
          <w:sz w:val="21"/>
        </w:rPr>
        <w:t>LUMBEE TRIBE OF NORTH CAROLINA</w:t>
      </w:r>
    </w:p>
    <w:tbl>
      <w:tblPr>
        <w:tblStyle w:val="TableGrid"/>
        <w:tblW w:type="auto" w:w="0"/>
        <w:jc w:val="center"/>
        <w:tblLook w:firstColumn="1" w:firstRow="1" w:lastColumn="0" w:lastRow="0" w:noHBand="0" w:noVBand="1" w:val="04A0"/>
      </w:tblPr>
      <w:tblGrid>
        <w:gridCol w:w="4320"/>
        <w:gridCol w:w="4320"/>
      </w:tblGrid>
      <w:tr>
        <w:tc>
          <w:tcPr>
            <w:tcW w:type="dxa" w:w="2880"/>
            <w:shd w:val="clear" w:fill="2E5496"/>
          </w:tcPr>
          <w:p>
            <w:r>
              <w:rPr>
                <w:b/>
                <w:color w:val="FFFFFF"/>
                <w:sz w:val="19"/>
              </w:rPr>
              <w:t>Field</w:t>
            </w:r>
          </w:p>
        </w:tc>
        <w:tc>
          <w:tcPr>
            <w:tcW w:type="dxa" w:w="6480"/>
            <w:shd w:val="clear" w:fill="2E5496"/>
          </w:tcPr>
          <w:p>
            <w:r>
              <w:rPr>
                <w:b/>
                <w:color w:val="FFFFFF"/>
                <w:sz w:val="19"/>
              </w:rPr>
              <w:t>Entry</w:t>
            </w:r>
          </w:p>
        </w:tc>
      </w:tr>
      <w:tr>
        <w:tc>
          <w:tcPr>
            <w:tcW w:type="dxa" w:w="2880"/>
          </w:tcPr>
          <w:p>
            <w:r>
              <w:rPr>
                <w:sz w:val="19"/>
              </w:rPr>
              <w:t>By (signature)</w:t>
            </w:r>
          </w:p>
        </w:tc>
        <w:tc>
          <w:tcPr>
            <w:tcW w:type="dxa" w:w="6480"/>
          </w:tcPr>
          <w:p>
            <w:r>
              <w:rPr>
                <w:sz w:val="19"/>
              </w:rPr>
              <w:t>________________________________</w:t>
            </w:r>
          </w:p>
        </w:tc>
      </w:tr>
      <w:tr>
        <w:tc>
          <w:tcPr>
            <w:tcW w:type="dxa" w:w="2880"/>
          </w:tcPr>
          <w:p>
            <w:r>
              <w:rPr>
                <w:sz w:val="19"/>
              </w:rPr>
              <w:t>Name</w:t>
            </w:r>
          </w:p>
        </w:tc>
        <w:tc>
          <w:tcPr>
            <w:tcW w:type="dxa" w:w="6480"/>
          </w:tcPr>
          <w:p>
            <w:r>
              <w:rPr>
                <w:sz w:val="19"/>
              </w:rPr>
              <w:t>[PLACEHOLDER — LEGAL REVIEW REQUIRED]</w:t>
            </w:r>
          </w:p>
        </w:tc>
      </w:tr>
      <w:tr>
        <w:tc>
          <w:tcPr>
            <w:tcW w:type="dxa" w:w="2880"/>
          </w:tcPr>
          <w:p>
            <w:r>
              <w:rPr>
                <w:sz w:val="19"/>
              </w:rPr>
              <w:t>Title (authorized Tribal official)</w:t>
            </w:r>
          </w:p>
        </w:tc>
        <w:tc>
          <w:tcPr>
            <w:tcW w:type="dxa" w:w="6480"/>
          </w:tcPr>
          <w:p>
            <w:r>
              <w:rPr>
                <w:sz w:val="19"/>
              </w:rPr>
              <w:t>[PLACEHOLDER — LEGAL REVIEW REQUIRED]</w:t>
            </w:r>
          </w:p>
        </w:tc>
      </w:tr>
      <w:tr>
        <w:tc>
          <w:tcPr>
            <w:tcW w:type="dxa" w:w="2880"/>
          </w:tcPr>
          <w:p>
            <w:r>
              <w:rPr>
                <w:sz w:val="19"/>
              </w:rPr>
              <w:t>Date</w:t>
            </w:r>
          </w:p>
        </w:tc>
        <w:tc>
          <w:tcPr>
            <w:tcW w:type="dxa" w:w="6480"/>
          </w:tcPr>
          <w:p>
            <w:r>
              <w:rPr>
                <w:sz w:val="19"/>
              </w:rPr>
              <w:t>[PLACEHOLDER — LEGAL REVIEW REQUIRED]</w:t>
            </w:r>
          </w:p>
        </w:tc>
      </w:tr>
      <w:tr>
        <w:tc>
          <w:tcPr>
            <w:tcW w:type="dxa" w:w="2880"/>
          </w:tcPr>
          <w:p>
            <w:r>
              <w:rPr>
                <w:sz w:val="19"/>
              </w:rPr>
              <w:t>Governing-body authorization ref.</w:t>
            </w:r>
          </w:p>
        </w:tc>
        <w:tc>
          <w:tcPr>
            <w:tcW w:type="dxa" w:w="6480"/>
          </w:tcPr>
          <w:p>
            <w:r>
              <w:rPr>
                <w:sz w:val="19"/>
              </w:rPr>
              <w:t>[PLACEHOLDER — LEGAL REVIEW REQUIRED]</w:t>
            </w:r>
          </w:p>
        </w:tc>
      </w:tr>
    </w:tbl>
    <w:p>
      <w:r>
        <w:rPr>
          <w:b w:val="0"/>
          <w:i/>
          <w:color w:val="595959"/>
          <w:sz w:val="18"/>
        </w:rPr>
        <w:t>Each signatory represents that they are duly authorized to execute this MOU on behalf of their respective Party. Tribal execution is subject to Section 12 (non-waiver of sovereign immunity).</w:t>
      </w:r>
    </w:p>
    <w:p>
      <w:r>
        <w:br w:type="page"/>
      </w:r>
    </w:p>
    <w:p>
      <w:pPr>
        <w:pStyle w:val="Heading2"/>
      </w:pPr>
      <w:r>
        <w:t>Revision history</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fill="2E5496"/>
          </w:tcPr>
          <w:p>
            <w:r>
              <w:rPr>
                <w:b/>
                <w:color w:val="FFFFFF"/>
                <w:sz w:val="19"/>
              </w:rPr>
              <w:t>Version</w:t>
            </w:r>
          </w:p>
        </w:tc>
        <w:tc>
          <w:tcPr>
            <w:tcW w:type="dxa" w:w="1728"/>
            <w:shd w:val="clear" w:fill="2E5496"/>
          </w:tcPr>
          <w:p>
            <w:r>
              <w:rPr>
                <w:b/>
                <w:color w:val="FFFFFF"/>
                <w:sz w:val="19"/>
              </w:rPr>
              <w:t>Date</w:t>
            </w:r>
          </w:p>
        </w:tc>
        <w:tc>
          <w:tcPr>
            <w:tcW w:type="dxa" w:w="1728"/>
            <w:shd w:val="clear" w:fill="2E5496"/>
          </w:tcPr>
          <w:p>
            <w:r>
              <w:rPr>
                <w:b/>
                <w:color w:val="FFFFFF"/>
                <w:sz w:val="19"/>
              </w:rPr>
              <w:t>Author</w:t>
            </w:r>
          </w:p>
        </w:tc>
        <w:tc>
          <w:tcPr>
            <w:tcW w:type="dxa" w:w="1728"/>
            <w:shd w:val="clear" w:fill="2E5496"/>
          </w:tcPr>
          <w:p>
            <w:r>
              <w:rPr>
                <w:b/>
                <w:color w:val="FFFFFF"/>
                <w:sz w:val="19"/>
              </w:rPr>
              <w:t>Summary of change</w:t>
            </w:r>
          </w:p>
        </w:tc>
        <w:tc>
          <w:tcPr>
            <w:tcW w:type="dxa" w:w="1728"/>
            <w:shd w:val="clear" w:fill="2E5496"/>
          </w:tcPr>
          <w:p>
            <w:r>
              <w:rPr>
                <w:b/>
                <w:color w:val="FFFFFF"/>
                <w:sz w:val="19"/>
              </w:rPr>
              <w:t>Approved by</w:t>
            </w:r>
          </w:p>
        </w:tc>
      </w:tr>
      <w:tr>
        <w:tc>
          <w:tcPr>
            <w:tcW w:type="dxa" w:w="1728"/>
          </w:tcPr>
          <w:p>
            <w:r>
              <w:rPr>
                <w:sz w:val="19"/>
              </w:rPr>
              <w:t>v0.1</w:t>
            </w:r>
          </w:p>
        </w:tc>
        <w:tc>
          <w:tcPr>
            <w:tcW w:type="dxa" w:w="1728"/>
          </w:tcPr>
          <w:p>
            <w:r>
              <w:rPr>
                <w:sz w:val="19"/>
              </w:rPr>
              <w:t>(build)</w:t>
            </w:r>
          </w:p>
        </w:tc>
        <w:tc>
          <w:tcPr>
            <w:tcW w:type="dxa" w:w="1728"/>
          </w:tcPr>
          <w:p>
            <w:r>
              <w:rPr>
                <w:sz w:val="19"/>
              </w:rPr>
              <w:t>Program build</w:t>
            </w:r>
          </w:p>
        </w:tc>
        <w:tc>
          <w:tcPr>
            <w:tcW w:type="dxa" w:w="1728"/>
          </w:tcPr>
          <w:p>
            <w:r>
              <w:rPr>
                <w:sz w:val="19"/>
              </w:rPr>
              <w:t>Initial draft for internal review</w:t>
            </w:r>
          </w:p>
        </w:tc>
        <w:tc>
          <w:tcPr>
            <w:tcW w:type="dxa" w:w="1728"/>
          </w:tcPr>
          <w:p>
            <w:r>
              <w:rPr>
                <w:sz w:val="19"/>
              </w:rPr>
              <w:t>(pending)</w:t>
            </w:r>
          </w:p>
        </w:tc>
      </w:tr>
      <w:tr>
        <w:tc>
          <w:tcPr>
            <w:tcW w:type="dxa" w:w="1728"/>
          </w:tcPr>
          <w:p>
            <w:r>
              <w:rPr>
                <w:sz w:val="19"/>
              </w:rPr>
            </w:r>
          </w:p>
        </w:tc>
        <w:tc>
          <w:tcPr>
            <w:tcW w:type="dxa" w:w="1728"/>
          </w:tcPr>
          <w:p>
            <w:r>
              <w:rPr>
                <w:sz w:val="19"/>
              </w:rPr>
            </w:r>
          </w:p>
        </w:tc>
        <w:tc>
          <w:tcPr>
            <w:tcW w:type="dxa" w:w="1728"/>
          </w:tcPr>
          <w:p>
            <w:r>
              <w:rPr>
                <w:sz w:val="19"/>
              </w:rPr>
            </w:r>
          </w:p>
        </w:tc>
        <w:tc>
          <w:tcPr>
            <w:tcW w:type="dxa" w:w="1728"/>
          </w:tcPr>
          <w:p>
            <w:r>
              <w:rPr>
                <w:sz w:val="19"/>
              </w:rPr>
            </w:r>
          </w:p>
        </w:tc>
        <w:tc>
          <w:tcPr>
            <w:tcW w:type="dxa" w:w="1728"/>
          </w:tcPr>
          <w:p>
            <w:r>
              <w:rPr>
                <w:sz w:val="19"/>
              </w:rPr>
            </w:r>
          </w:p>
        </w:tc>
      </w:tr>
      <w:tr>
        <w:tc>
          <w:tcPr>
            <w:tcW w:type="dxa" w:w="1728"/>
          </w:tcPr>
          <w:p>
            <w:r>
              <w:rPr>
                <w:sz w:val="19"/>
              </w:rPr>
            </w:r>
          </w:p>
        </w:tc>
        <w:tc>
          <w:tcPr>
            <w:tcW w:type="dxa" w:w="1728"/>
          </w:tcPr>
          <w:p>
            <w:r>
              <w:rPr>
                <w:sz w:val="19"/>
              </w:rPr>
            </w:r>
          </w:p>
        </w:tc>
        <w:tc>
          <w:tcPr>
            <w:tcW w:type="dxa" w:w="1728"/>
          </w:tcPr>
          <w:p>
            <w:r>
              <w:rPr>
                <w:sz w:val="19"/>
              </w:rPr>
            </w:r>
          </w:p>
        </w:tc>
        <w:tc>
          <w:tcPr>
            <w:tcW w:type="dxa" w:w="1728"/>
          </w:tcPr>
          <w:p>
            <w:r>
              <w:rPr>
                <w:sz w:val="19"/>
              </w:rPr>
            </w:r>
          </w:p>
        </w:tc>
        <w:tc>
          <w:tcPr>
            <w:tcW w:type="dxa" w:w="1728"/>
          </w:tcPr>
          <w:p>
            <w:r>
              <w:rPr>
                <w:sz w:val="19"/>
              </w:rPr>
            </w:r>
          </w:p>
        </w:tc>
      </w:tr>
    </w:tbl>
    <w:p/>
    <w:p>
      <w:r>
        <w:rPr>
          <w:b w:val="0"/>
          <w:i/>
          <w:color w:val="595959"/>
          <w:sz w:val="18"/>
        </w:rPr>
        <w:t>This is a build-phase draft. All figures, prices, and regulatory determinations are subject to confirmation per the Open Issues &amp; Legal Decisions Log (Deliverable 13) and the Regulatory Source Register (Deliverable 00). Do not launch, market, or bill against this document until the final NCUC ETC order is issued and USAC onboarding is complete.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549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