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Relatório Anual 2025 — FutureKids</w:t>
      </w:r>
    </w:p>
    <w:p>
      <w:r>
        <w:t>Resumo Executivo: Em 2025, a FutureKids consolidou sua atuação como referência nacional em projetos educacionais, culturais e sociais voltados ao desenvolvimento integral de crianças e adolescentes. Com foco em protagonismo juvenil e inclusão, expandimos nossas ações para novas comunidades e fortalecemos parcerias estratégicas.</w:t>
      </w:r>
    </w:p>
    <w:p>
      <w:r>
        <w:t>Principais Indicadores:</w:t>
      </w:r>
    </w:p>
    <w:p>
      <w:pPr>
        <w:pStyle w:val="ListBullet"/>
      </w:pPr>
      <w:r>
        <w:t>👧👦 12.400 crianças e adolescentes atendidos</w:t>
      </w:r>
    </w:p>
    <w:p>
      <w:pPr>
        <w:pStyle w:val="ListBullet"/>
      </w:pPr>
      <w:r>
        <w:t>🏫 Parcerias com 25 escolas públicas e 8 municípios</w:t>
      </w:r>
    </w:p>
    <w:p>
      <w:pPr>
        <w:pStyle w:val="ListBullet"/>
      </w:pPr>
      <w:r>
        <w:t>🎭 60 espetáculos culturais e 18 exposições realizadas</w:t>
      </w:r>
    </w:p>
    <w:p>
      <w:pPr>
        <w:pStyle w:val="ListBullet"/>
      </w:pPr>
      <w:r>
        <w:t>📚 10.000 livros infantis distribuídos</w:t>
      </w:r>
    </w:p>
    <w:p>
      <w:pPr>
        <w:pStyle w:val="ListBullet"/>
      </w:pPr>
      <w:r>
        <w:t>🎒 20.000 kits escolares e culturais entregues</w:t>
      </w:r>
    </w:p>
    <w:p>
      <w:pPr>
        <w:pStyle w:val="ListBullet"/>
      </w:pPr>
      <w:r>
        <w:t>🏆 Prêmio Nacional de Inovação Social pelo projeto “Educação que Acolhe”</w:t>
      </w:r>
    </w:p>
    <w:p>
      <w:r>
        <w:t>Investimentos:</w:t>
      </w:r>
    </w:p>
    <w:p>
      <w:pPr>
        <w:pStyle w:val="ListBullet"/>
      </w:pPr>
      <w:r>
        <w:t>42% em programas educacionais</w:t>
      </w:r>
    </w:p>
    <w:p>
      <w:pPr>
        <w:pStyle w:val="ListBullet"/>
      </w:pPr>
      <w:r>
        <w:t>28% em cultura e arte comunitária</w:t>
      </w:r>
    </w:p>
    <w:p>
      <w:pPr>
        <w:pStyle w:val="ListBullet"/>
      </w:pPr>
      <w:r>
        <w:t>15% em capacitação de voluntários</w:t>
      </w:r>
    </w:p>
    <w:p>
      <w:pPr>
        <w:pStyle w:val="ListBullet"/>
      </w:pPr>
      <w:r>
        <w:t>10% em comunicação e transparência</w:t>
      </w:r>
    </w:p>
    <w:p>
      <w:pPr>
        <w:pStyle w:val="ListBullet"/>
      </w:pPr>
      <w:r>
        <w:t>5% em gestão administrativa</w:t>
      </w:r>
    </w:p>
    <w:p>
      <w:r>
        <w:t>Fontes de Recursos:</w:t>
      </w:r>
    </w:p>
    <w:p>
      <w:pPr>
        <w:pStyle w:val="ListBullet"/>
      </w:pPr>
      <w:r>
        <w:t>Doações individuais: 35%</w:t>
      </w:r>
    </w:p>
    <w:p>
      <w:pPr>
        <w:pStyle w:val="ListBullet"/>
      </w:pPr>
      <w:r>
        <w:t>Parcerias institucionais: 40%</w:t>
      </w:r>
    </w:p>
    <w:p>
      <w:pPr>
        <w:pStyle w:val="ListBullet"/>
      </w:pPr>
      <w:r>
        <w:t>Editais públicos: 15%</w:t>
      </w:r>
    </w:p>
    <w:p>
      <w:pPr>
        <w:pStyle w:val="ListBullet"/>
      </w:pPr>
      <w:r>
        <w:t>Eventos e campanhas: 10%</w:t>
      </w:r>
    </w:p>
    <w:p>
      <w:r>
        <w:t>Prestação de Contas: Todos os recursos foram aplicados conforme os princípios de ética, transparência e impacto social. Os balanços financeiros foram auditados por consultoria independente e estão disponíveis para consulta pública.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