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w:t>
      </w:r>
      <w:r>
        <w:t xml:space="preserve"> </w:t>
      </w:r>
      <w:r>
        <w:t xml:space="preserve">1</w:t>
      </w:r>
      <w:r>
        <w:t xml:space="preserve"> </w:t>
      </w:r>
      <w:r>
        <w:t xml:space="preserve">–</w:t>
      </w:r>
      <w:r>
        <w:t xml:space="preserve"> </w:t>
      </w:r>
      <w:r>
        <w:t xml:space="preserve">Strategic</w:t>
      </w:r>
      <w:r>
        <w:t xml:space="preserve"> </w:t>
      </w:r>
      <w:r>
        <w:t xml:space="preserve">Design</w:t>
      </w:r>
      <w:r>
        <w:t xml:space="preserve"> </w:t>
      </w:r>
      <w:r>
        <w:t xml:space="preserve">and</w:t>
      </w:r>
      <w:r>
        <w:t xml:space="preserve"> </w:t>
      </w:r>
      <w:r>
        <w:t xml:space="preserve">Planning</w:t>
      </w:r>
    </w:p>
    <w:p>
      <w:pPr>
        <w:pStyle w:val="Subtitle"/>
      </w:pPr>
      <w:r>
        <w:t xml:space="preserve">Machine</w:t>
      </w:r>
      <w:r>
        <w:t xml:space="preserve"> </w:t>
      </w:r>
      <w:r>
        <w:t xml:space="preserve">Learning</w:t>
      </w:r>
      <w:r>
        <w:t xml:space="preserve"> </w:t>
      </w:r>
      <w:r>
        <w:t xml:space="preserve">Data</w:t>
      </w:r>
      <w:r>
        <w:t xml:space="preserve"> </w:t>
      </w:r>
      <w:r>
        <w:t xml:space="preserve">Analysis</w:t>
      </w:r>
      <w:r>
        <w:t xml:space="preserve"> </w:t>
      </w:r>
      <w:r>
        <w:t xml:space="preserve">Project</w:t>
      </w:r>
      <w:r>
        <w:t xml:space="preserve"> </w:t>
      </w:r>
      <w:r>
        <w:t xml:space="preserve">for</w:t>
      </w:r>
      <w:r>
        <w:t xml:space="preserve"> </w:t>
      </w:r>
      <w:r>
        <w:t xml:space="preserve">Agriculture</w:t>
      </w:r>
      <w:r>
        <w:t xml:space="preserve"> </w:t>
      </w:r>
      <w:r>
        <w:t xml:space="preserve">and</w:t>
      </w:r>
      <w:r>
        <w:t xml:space="preserve"> </w:t>
      </w:r>
      <w:r>
        <w:t xml:space="preserve">Agribusiness</w:t>
      </w:r>
    </w:p>
    <w:p>
      <w:pPr>
        <w:pStyle w:val="FirstParagraph"/>
      </w:pPr>
      <w:r>
        <w:rPr>
          <w:bCs/>
          <w:b/>
        </w:rPr>
        <w:t xml:space="preserve">Intern:</w:t>
      </w:r>
      <w:r>
        <w:t xml:space="preserve"> </w:t>
      </w:r>
      <w:r>
        <w:t xml:space="preserve">____________________</w:t>
      </w:r>
      <w:r>
        <w:t xml:space="preserve"> </w:t>
      </w:r>
      <w:r>
        <w:rPr>
          <w:bCs/>
          <w:b/>
        </w:rPr>
        <w:t xml:space="preserve">Programme:</w:t>
      </w:r>
      <w:r>
        <w:t xml:space="preserve"> </w:t>
      </w:r>
      <w:r>
        <w:t xml:space="preserve">Junior Machine Learning Data Analyst – Agriculture &amp; Agribusiness</w:t>
      </w:r>
      <w:r>
        <w:t xml:space="preserve"> </w:t>
      </w:r>
      <w:r>
        <w:rPr>
          <w:bCs/>
          <w:b/>
        </w:rPr>
        <w:t xml:space="preserve">Period:</w:t>
      </w:r>
      <w:r>
        <w:t xml:space="preserve"> </w:t>
      </w:r>
      <w:r>
        <w:t xml:space="preserve">20 October 2026 – 17 November 2026</w:t>
      </w:r>
      <w:r>
        <w:t xml:space="preserve"> </w:t>
      </w:r>
      <w:r>
        <w:rPr>
          <w:bCs/>
          <w:b/>
        </w:rPr>
        <w:t xml:space="preserve">Repository:</w:t>
      </w:r>
      <w:r>
        <w:t xml:space="preserve"> </w:t>
      </w:r>
      <w:r>
        <w:t xml:space="preserve">https://github.com/</w:t>
      </w:r>
      <w:r>
        <w:t xml:space="preserve">/agri-ml-yield-analytics</w:t>
      </w:r>
    </w:p>
    <w:bookmarkStart w:id="20" w:name="executive-summary"/>
    <w:p>
      <w:pPr>
        <w:pStyle w:val="Heading1"/>
      </w:pPr>
      <w:r>
        <w:t xml:space="preserve">1. Executive Summary</w:t>
      </w:r>
    </w:p>
    <w:p>
      <w:pPr>
        <w:pStyle w:val="FirstParagraph"/>
      </w:pPr>
      <w:r>
        <w:t xml:space="preserve">Agriculture faces interrelated pressures: climate variability, pests and plant diseases, price volatility, and the need to raise productivity sustainably. Systematic use of data can help farmers, cooperatives, and agribusiness firms make earlier and better-informed decisions.</w:t>
      </w:r>
    </w:p>
    <w:p>
      <w:pPr>
        <w:pStyle w:val="BodyText"/>
      </w:pPr>
      <w:r>
        <w:t xml:space="preserve">This project builds three analytical capabilities: (1) crop yield prediction from weather data and satellite vegetation indices, (2) early plant disease detection from leaf images, and (3) short-term commodity price forecasting to support sales planning. Week 1 establishes the strategic foundation: problem statement, objectives, scope, methodology, KPIs, timeline, resources, risks, and mitigation strategies. The outcome is a roadmap that can be tested for feasibility and carried into implementation in Weeks 2 to 4.</w:t>
      </w:r>
    </w:p>
    <w:bookmarkEnd w:id="20"/>
    <w:bookmarkStart w:id="24" w:name="background-and-literature-review"/>
    <w:p>
      <w:pPr>
        <w:pStyle w:val="Heading1"/>
      </w:pPr>
      <w:r>
        <w:t xml:space="preserve">2. Background and Literature Review</w:t>
      </w:r>
    </w:p>
    <w:bookmarkStart w:id="21" w:name="context"/>
    <w:p>
      <w:pPr>
        <w:pStyle w:val="Heading2"/>
      </w:pPr>
      <w:r>
        <w:t xml:space="preserve">2.1 Context</w:t>
      </w:r>
    </w:p>
    <w:p>
      <w:pPr>
        <w:pStyle w:val="FirstParagraph"/>
      </w:pPr>
      <w:r>
        <w:t xml:space="preserve">Food production must increase under pressure from population growth, land degradation, and climate change. The Food and Agriculture Organization (FAO, 2017) emphasises that these challenges require better evidence for decisions. Open data sources, such as Sentinel-2 satellite imagery from Copernicus, NASA POWER climate data, and public statistics, now make predictive modelling feasible without first collecting large volumes of primary data.</w:t>
      </w:r>
    </w:p>
    <w:bookmarkEnd w:id="21"/>
    <w:bookmarkStart w:id="22" w:name="X36166a9dc27e23eb935ee75b1377f4da61e5cc5"/>
    <w:p>
      <w:pPr>
        <w:pStyle w:val="Heading2"/>
      </w:pPr>
      <w:r>
        <w:t xml:space="preserve">2.2 Machine Learning Applications in Agriculture</w:t>
      </w:r>
    </w:p>
    <w:p>
      <w:pPr>
        <w:pStyle w:val="FirstParagraph"/>
      </w:pPr>
      <w:r>
        <w:t xml:space="preserve">Reviews of the field describe a broad range of applications. Liakos et al. (2018) classify them into crop management, livestock monitoring, soil and water management, and pest and disease control. Chlingaryan, Sukkarieh, and Whelan (2018) review machine learning methods for crop yield prediction and nitrogen status estimation and report that ensemble methods and neural networks often perform competitively on complex agricultural data.</w:t>
      </w:r>
    </w:p>
    <w:p>
      <w:pPr>
        <w:pStyle w:val="BodyText"/>
      </w:pPr>
      <w:r>
        <w:t xml:space="preserve">In practice, the main application areas are:</w:t>
      </w:r>
    </w:p>
    <w:p>
      <w:pPr>
        <w:numPr>
          <w:ilvl w:val="0"/>
          <w:numId w:val="1001"/>
        </w:numPr>
        <w:pStyle w:val="Compact"/>
      </w:pPr>
      <w:r>
        <w:rPr>
          <w:bCs/>
          <w:b/>
        </w:rPr>
        <w:t xml:space="preserve">Yield prediction:</w:t>
      </w:r>
      <w:r>
        <w:t xml:space="preserve"> </w:t>
      </w:r>
      <w:r>
        <w:t xml:space="preserve">estimating output per hectare from weather, soil, variety, and vegetation index features.</w:t>
      </w:r>
    </w:p>
    <w:p>
      <w:pPr>
        <w:numPr>
          <w:ilvl w:val="0"/>
          <w:numId w:val="1001"/>
        </w:numPr>
        <w:pStyle w:val="Compact"/>
      </w:pPr>
      <w:r>
        <w:rPr>
          <w:bCs/>
          <w:b/>
        </w:rPr>
        <w:t xml:space="preserve">Disease and pest detection:</w:t>
      </w:r>
      <w:r>
        <w:t xml:space="preserve"> </w:t>
      </w:r>
      <w:r>
        <w:t xml:space="preserve">classifying leaf or plant images with convolutional neural networks. PlantVillage (Hughes &amp; Salathé, 2015) is a widely used public image dataset for this purpose.</w:t>
      </w:r>
    </w:p>
    <w:p>
      <w:pPr>
        <w:numPr>
          <w:ilvl w:val="0"/>
          <w:numId w:val="1001"/>
        </w:numPr>
        <w:pStyle w:val="Compact"/>
      </w:pPr>
      <w:r>
        <w:rPr>
          <w:bCs/>
          <w:b/>
        </w:rPr>
        <w:t xml:space="preserve">Irrigation and land monitoring:</w:t>
      </w:r>
      <w:r>
        <w:t xml:space="preserve"> </w:t>
      </w:r>
      <w:r>
        <w:t xml:space="preserve">combining soil moisture and forecast data to recommend irrigation timing.</w:t>
      </w:r>
    </w:p>
    <w:p>
      <w:pPr>
        <w:numPr>
          <w:ilvl w:val="0"/>
          <w:numId w:val="1001"/>
        </w:numPr>
        <w:pStyle w:val="Compact"/>
      </w:pPr>
      <w:r>
        <w:rPr>
          <w:bCs/>
          <w:b/>
        </w:rPr>
        <w:t xml:space="preserve">Price and demand forecasting:</w:t>
      </w:r>
      <w:r>
        <w:t xml:space="preserve"> </w:t>
      </w:r>
      <w:r>
        <w:t xml:space="preserve">supporting inventory, contract, and purchasing decisions in agribusiness.</w:t>
      </w:r>
    </w:p>
    <w:p>
      <w:pPr>
        <w:numPr>
          <w:ilvl w:val="0"/>
          <w:numId w:val="1001"/>
        </w:numPr>
        <w:pStyle w:val="Compact"/>
      </w:pPr>
      <w:r>
        <w:rPr>
          <w:bCs/>
          <w:b/>
        </w:rPr>
        <w:t xml:space="preserve">Supply chain optimisation:</w:t>
      </w:r>
      <w:r>
        <w:t xml:space="preserve"> </w:t>
      </w:r>
      <w:r>
        <w:t xml:space="preserve">reducing post-harvest losses through better logistics planning.</w:t>
      </w:r>
    </w:p>
    <w:p>
      <w:pPr>
        <w:pStyle w:val="FirstParagraph"/>
      </w:pPr>
      <w:r>
        <w:t xml:space="preserve">Industry experience suggests that results depend more on data quality, a clearly defined business question, and integration into decision-making than on the choice of algorithm.</w:t>
      </w:r>
    </w:p>
    <w:bookmarkEnd w:id="22"/>
    <w:bookmarkStart w:id="23" w:name="common-challenges"/>
    <w:p>
      <w:pPr>
        <w:pStyle w:val="Heading2"/>
      </w:pPr>
      <w:r>
        <w:t xml:space="preserve">2.3 Common Challenges</w:t>
      </w:r>
    </w:p>
    <w:p>
      <w:pPr>
        <w:pStyle w:val="FirstParagraph"/>
      </w:pPr>
      <w:r>
        <w:t xml:space="preserve">Frequently reported challenges include limited and inconsistent field data, fragmented data sources, models that do not generalise across agro-ecological zones, limited digital literacy among end users, and unreliable connectivity in rural areas. These are addressed explicitly in the design below.</w:t>
      </w:r>
    </w:p>
    <w:bookmarkEnd w:id="23"/>
    <w:bookmarkEnd w:id="24"/>
    <w:bookmarkStart w:id="25" w:name="problem-statement"/>
    <w:p>
      <w:pPr>
        <w:pStyle w:val="Heading1"/>
      </w:pPr>
      <w:r>
        <w:t xml:space="preserve">3. Problem Statement</w:t>
      </w:r>
    </w:p>
    <w:p>
      <w:pPr>
        <w:pStyle w:val="FirstParagraph"/>
      </w:pPr>
      <w:r>
        <w:t xml:space="preserve">Many agricultural decisions at local level still rely on historical experience and incomplete information. This leads to inefficient use of inputs (fertiliser, water, pesticide), delayed detection of plant disease, and uncertainty in harvest and sales planning. Because climate, image, and market data are rarely analysed together, potential gains in productivity and income are not realised.</w:t>
      </w:r>
    </w:p>
    <w:p>
      <w:pPr>
        <w:pStyle w:val="BodyText"/>
      </w:pPr>
      <w:r>
        <w:rPr>
          <w:bCs/>
          <w:b/>
        </w:rPr>
        <w:t xml:space="preserve">Central research question:</w:t>
      </w:r>
      <w:r>
        <w:t xml:space="preserve"> </w:t>
      </w:r>
      <w:r>
        <w:rPr>
          <w:iCs/>
          <w:i/>
        </w:rPr>
        <w:t xml:space="preserve">How can machine learning models built on open and historical agricultural data predict crop yield, detect plant disease early, and forecast commodity prices accurately enough to support decisions by agribusiness stakeholders?</w:t>
      </w:r>
    </w:p>
    <w:p>
      <w:pPr>
        <w:pStyle w:val="BodyText"/>
      </w:pPr>
      <w:r>
        <w:rPr>
          <w:bCs/>
          <w:b/>
        </w:rPr>
        <w:t xml:space="preserve">Specific problems:</w:t>
      </w:r>
    </w:p>
    <w:p>
      <w:pPr>
        <w:numPr>
          <w:ilvl w:val="0"/>
          <w:numId w:val="1002"/>
        </w:numPr>
        <w:pStyle w:val="Compact"/>
      </w:pPr>
      <w:r>
        <w:t xml:space="preserve">Yield prediction is not systematically available at regional level using weather and vegetation data.</w:t>
      </w:r>
    </w:p>
    <w:p>
      <w:pPr>
        <w:numPr>
          <w:ilvl w:val="0"/>
          <w:numId w:val="1002"/>
        </w:numPr>
        <w:pStyle w:val="Compact"/>
      </w:pPr>
      <w:r>
        <w:t xml:space="preserve">Disease detection depends on slow and subjective visual inspection.</w:t>
      </w:r>
    </w:p>
    <w:p>
      <w:pPr>
        <w:numPr>
          <w:ilvl w:val="0"/>
          <w:numId w:val="1002"/>
        </w:numPr>
        <w:pStyle w:val="Compact"/>
      </w:pPr>
      <w:r>
        <w:t xml:space="preserve">Price information is not converted into forecasts that can guide sales planning.</w:t>
      </w:r>
    </w:p>
    <w:p>
      <w:pPr>
        <w:pStyle w:val="FirstParagraph"/>
      </w:pPr>
      <w:r>
        <w:rPr>
          <w:bCs/>
          <w:b/>
        </w:rPr>
        <w:t xml:space="preserve">Scope limits:</w:t>
      </w:r>
      <w:r>
        <w:t xml:space="preserve"> </w:t>
      </w:r>
      <w:r>
        <w:t xml:space="preserve">The project is limited to one staple commodity (for example rice or maize), one or two pilot regions, and a single-season forecasting horizon. Early analysis relies on secondary and open data, with limited primary field data for validation.</w:t>
      </w:r>
    </w:p>
    <w:bookmarkEnd w:id="25"/>
    <w:bookmarkStart w:id="28" w:name="objectives"/>
    <w:p>
      <w:pPr>
        <w:pStyle w:val="Heading1"/>
      </w:pPr>
      <w:r>
        <w:t xml:space="preserve">4. Objectives</w:t>
      </w:r>
    </w:p>
    <w:bookmarkStart w:id="26" w:name="general-objective"/>
    <w:p>
      <w:pPr>
        <w:pStyle w:val="Heading2"/>
      </w:pPr>
      <w:r>
        <w:t xml:space="preserve">4.1 General Objective</w:t>
      </w:r>
    </w:p>
    <w:p>
      <w:pPr>
        <w:pStyle w:val="FirstParagraph"/>
      </w:pPr>
      <w:r>
        <w:t xml:space="preserve">Design and build a reproducible machine learning analytics framework that provides accurate and interpretable decision support for agriculture and agribusiness stakeholders.</w:t>
      </w:r>
    </w:p>
    <w:bookmarkEnd w:id="26"/>
    <w:bookmarkStart w:id="27" w:name="specific-objectives-smart"/>
    <w:p>
      <w:pPr>
        <w:pStyle w:val="Heading2"/>
      </w:pPr>
      <w:r>
        <w:t xml:space="preserve">4.2 Specific Objectives (SMART)</w:t>
      </w:r>
    </w:p>
    <w:tbl>
      <w:tblPr>
        <w:tblStyle w:val="Table"/>
        <w:tblW w:type="pct" w:w="5000"/>
        <w:tblLook w:firstRow="1" w:lastRow="0" w:firstColumn="0" w:lastColumn="0" w:noHBand="0" w:noVBand="0" w:val="0020"/>
        <w:jc w:val="start"/>
      </w:tblPr>
      <w:tblGrid>
        <w:gridCol w:w="720"/>
        <w:gridCol w:w="1980"/>
        <w:gridCol w:w="3420"/>
        <w:gridCol w:w="1800"/>
      </w:tblGrid>
      <w:tr>
        <w:trPr>
          <w:tblHeader w:val="true"/>
        </w:trPr>
        <w:tc>
          <w:tcPr/>
          <w:p>
            <w:pPr>
              <w:pStyle w:val="Compact"/>
              <w:jc w:val="left"/>
            </w:pPr>
            <w:r>
              <w:t xml:space="preserve">No</w:t>
            </w:r>
          </w:p>
        </w:tc>
        <w:tc>
          <w:tcPr/>
          <w:p>
            <w:pPr>
              <w:pStyle w:val="Compact"/>
              <w:jc w:val="left"/>
            </w:pPr>
            <w:r>
              <w:t xml:space="preserve">Objective</w:t>
            </w:r>
          </w:p>
        </w:tc>
        <w:tc>
          <w:tcPr/>
          <w:p>
            <w:pPr>
              <w:pStyle w:val="Compact"/>
              <w:jc w:val="left"/>
            </w:pPr>
            <w:r>
              <w:t xml:space="preserve">Measurable target</w:t>
            </w:r>
          </w:p>
        </w:tc>
        <w:tc>
          <w:tcPr/>
          <w:p>
            <w:pPr>
              <w:pStyle w:val="Compact"/>
              <w:jc w:val="left"/>
            </w:pPr>
            <w:r>
              <w:t xml:space="preserve">Deadline</w:t>
            </w:r>
          </w:p>
        </w:tc>
      </w:tr>
      <w:tr>
        <w:tc>
          <w:tcPr/>
          <w:p>
            <w:pPr>
              <w:pStyle w:val="Compact"/>
              <w:jc w:val="left"/>
            </w:pPr>
            <w:r>
              <w:t xml:space="preserve">O1</w:t>
            </w:r>
          </w:p>
        </w:tc>
        <w:tc>
          <w:tcPr/>
          <w:p>
            <w:pPr>
              <w:pStyle w:val="Compact"/>
              <w:jc w:val="left"/>
            </w:pPr>
            <w:r>
              <w:t xml:space="preserve">Build an integrated dataset from open and historical sources</w:t>
            </w:r>
          </w:p>
        </w:tc>
        <w:tc>
          <w:tcPr/>
          <w:p>
            <w:pPr>
              <w:pStyle w:val="Compact"/>
              <w:jc w:val="left"/>
            </w:pPr>
            <w:r>
              <w:t xml:space="preserve">At least 3 integrated sources with full schema documentation</w:t>
            </w:r>
          </w:p>
        </w:tc>
        <w:tc>
          <w:tcPr/>
          <w:p>
            <w:pPr>
              <w:pStyle w:val="Compact"/>
              <w:jc w:val="left"/>
            </w:pPr>
            <w:r>
              <w:t xml:space="preserve">End of Week 3</w:t>
            </w:r>
          </w:p>
        </w:tc>
      </w:tr>
      <w:tr>
        <w:tc>
          <w:tcPr/>
          <w:p>
            <w:pPr>
              <w:pStyle w:val="Compact"/>
              <w:jc w:val="left"/>
            </w:pPr>
            <w:r>
              <w:t xml:space="preserve">O2</w:t>
            </w:r>
          </w:p>
        </w:tc>
        <w:tc>
          <w:tcPr/>
          <w:p>
            <w:pPr>
              <w:pStyle w:val="Compact"/>
              <w:jc w:val="left"/>
            </w:pPr>
            <w:r>
              <w:t xml:space="preserve">Develop a regional crop yield prediction model</w:t>
            </w:r>
          </w:p>
        </w:tc>
        <w:tc>
          <w:tcPr/>
          <w:p>
            <w:pPr>
              <w:pStyle w:val="Compact"/>
              <w:jc w:val="left"/>
            </w:pPr>
            <w:r>
              <w:t xml:space="preserve">R² ≥ 0.70 and MAPE ≤ 15% on held-out data</w:t>
            </w:r>
          </w:p>
        </w:tc>
        <w:tc>
          <w:tcPr/>
          <w:p>
            <w:pPr>
              <w:pStyle w:val="Compact"/>
              <w:jc w:val="left"/>
            </w:pPr>
            <w:r>
              <w:t xml:space="preserve">End of Week 8</w:t>
            </w:r>
          </w:p>
        </w:tc>
      </w:tr>
      <w:tr>
        <w:tc>
          <w:tcPr/>
          <w:p>
            <w:pPr>
              <w:pStyle w:val="Compact"/>
              <w:jc w:val="left"/>
            </w:pPr>
            <w:r>
              <w:t xml:space="preserve">O3</w:t>
            </w:r>
          </w:p>
        </w:tc>
        <w:tc>
          <w:tcPr/>
          <w:p>
            <w:pPr>
              <w:pStyle w:val="Compact"/>
              <w:jc w:val="left"/>
            </w:pPr>
            <w:r>
              <w:t xml:space="preserve">Develop a leaf disease classification model</w:t>
            </w:r>
          </w:p>
        </w:tc>
        <w:tc>
          <w:tcPr/>
          <w:p>
            <w:pPr>
              <w:pStyle w:val="Compact"/>
              <w:jc w:val="left"/>
            </w:pPr>
            <w:r>
              <w:t xml:space="preserve">Accuracy ≥ 90% and macro F1 ≥ 0.85 on test data</w:t>
            </w:r>
          </w:p>
        </w:tc>
        <w:tc>
          <w:tcPr/>
          <w:p>
            <w:pPr>
              <w:pStyle w:val="Compact"/>
              <w:jc w:val="left"/>
            </w:pPr>
            <w:r>
              <w:t xml:space="preserve">End of Week 10</w:t>
            </w:r>
          </w:p>
        </w:tc>
      </w:tr>
      <w:tr>
        <w:tc>
          <w:tcPr/>
          <w:p>
            <w:pPr>
              <w:pStyle w:val="Compact"/>
              <w:jc w:val="left"/>
            </w:pPr>
            <w:r>
              <w:t xml:space="preserve">O4</w:t>
            </w:r>
          </w:p>
        </w:tc>
        <w:tc>
          <w:tcPr/>
          <w:p>
            <w:pPr>
              <w:pStyle w:val="Compact"/>
              <w:jc w:val="left"/>
            </w:pPr>
            <w:r>
              <w:t xml:space="preserve">Develop a short-term commodity price forecasting model</w:t>
            </w:r>
          </w:p>
        </w:tc>
        <w:tc>
          <w:tcPr/>
          <w:p>
            <w:pPr>
              <w:pStyle w:val="Compact"/>
              <w:jc w:val="left"/>
            </w:pPr>
            <w:r>
              <w:t xml:space="preserve">MAPE ≤ 10% for a 4-week horizon</w:t>
            </w:r>
          </w:p>
        </w:tc>
        <w:tc>
          <w:tcPr/>
          <w:p>
            <w:pPr>
              <w:pStyle w:val="Compact"/>
              <w:jc w:val="left"/>
            </w:pPr>
            <w:r>
              <w:t xml:space="preserve">End of Week 11</w:t>
            </w:r>
          </w:p>
        </w:tc>
      </w:tr>
      <w:tr>
        <w:tc>
          <w:tcPr/>
          <w:p>
            <w:pPr>
              <w:pStyle w:val="Compact"/>
              <w:jc w:val="left"/>
            </w:pPr>
            <w:r>
              <w:t xml:space="preserve">O5</w:t>
            </w:r>
          </w:p>
        </w:tc>
        <w:tc>
          <w:tcPr/>
          <w:p>
            <w:pPr>
              <w:pStyle w:val="Compact"/>
              <w:jc w:val="left"/>
            </w:pPr>
            <w:r>
              <w:t xml:space="preserve">Deliver a summary dashboard and results to stakeholders</w:t>
            </w:r>
          </w:p>
        </w:tc>
        <w:tc>
          <w:tcPr/>
          <w:p>
            <w:pPr>
              <w:pStyle w:val="Compact"/>
              <w:jc w:val="left"/>
            </w:pPr>
            <w:r>
              <w:t xml:space="preserve">Operational dashboard and at least two stakeholder presentations</w:t>
            </w:r>
          </w:p>
        </w:tc>
        <w:tc>
          <w:tcPr/>
          <w:p>
            <w:pPr>
              <w:pStyle w:val="Compact"/>
              <w:jc w:val="left"/>
            </w:pPr>
            <w:r>
              <w:t xml:space="preserve">End of Week 12</w:t>
            </w:r>
          </w:p>
        </w:tc>
      </w:tr>
    </w:tbl>
    <w:p>
      <w:pPr>
        <w:pStyle w:val="BodyText"/>
      </w:pPr>
      <w:r>
        <w:t xml:space="preserve">The numerical targets are provisional and will be recalibrated once baseline performance is established during exploratory analysis.</w:t>
      </w:r>
    </w:p>
    <w:bookmarkEnd w:id="27"/>
    <w:bookmarkEnd w:id="28"/>
    <w:bookmarkStart w:id="31" w:name="scope"/>
    <w:p>
      <w:pPr>
        <w:pStyle w:val="Heading1"/>
      </w:pPr>
      <w:r>
        <w:t xml:space="preserve">5. Scope</w:t>
      </w:r>
    </w:p>
    <w:bookmarkStart w:id="29" w:name="in-scope"/>
    <w:p>
      <w:pPr>
        <w:pStyle w:val="Heading2"/>
      </w:pPr>
      <w:r>
        <w:t xml:space="preserve">5.1 In Scope</w:t>
      </w:r>
    </w:p>
    <w:p>
      <w:pPr>
        <w:numPr>
          <w:ilvl w:val="0"/>
          <w:numId w:val="1003"/>
        </w:numPr>
        <w:pStyle w:val="Compact"/>
      </w:pPr>
      <w:r>
        <w:t xml:space="preserve">Collection and integration of public data: satellite imagery, climate data, production statistics, price data.</w:t>
      </w:r>
    </w:p>
    <w:p>
      <w:pPr>
        <w:numPr>
          <w:ilvl w:val="0"/>
          <w:numId w:val="1003"/>
        </w:numPr>
        <w:pStyle w:val="Compact"/>
      </w:pPr>
      <w:r>
        <w:t xml:space="preserve">Cleaning, transformation, and feature engineering for tabular, time-series, and image data.</w:t>
      </w:r>
    </w:p>
    <w:p>
      <w:pPr>
        <w:numPr>
          <w:ilvl w:val="0"/>
          <w:numId w:val="1003"/>
        </w:numPr>
        <w:pStyle w:val="Compact"/>
      </w:pPr>
      <w:r>
        <w:t xml:space="preserve">Development and evaluation of three models: yield regression, disease classification, and price forecasting.</w:t>
      </w:r>
    </w:p>
    <w:p>
      <w:pPr>
        <w:numPr>
          <w:ilvl w:val="0"/>
          <w:numId w:val="1003"/>
        </w:numPr>
        <w:pStyle w:val="Compact"/>
      </w:pPr>
      <w:r>
        <w:t xml:space="preserve">Documentation, reproducible code, and a written report.</w:t>
      </w:r>
    </w:p>
    <w:bookmarkEnd w:id="29"/>
    <w:bookmarkStart w:id="30" w:name="out-of-scope"/>
    <w:p>
      <w:pPr>
        <w:pStyle w:val="Heading2"/>
      </w:pPr>
      <w:r>
        <w:t xml:space="preserve">5.2 Out of Scope</w:t>
      </w:r>
    </w:p>
    <w:p>
      <w:pPr>
        <w:numPr>
          <w:ilvl w:val="0"/>
          <w:numId w:val="1004"/>
        </w:numPr>
        <w:pStyle w:val="Compact"/>
      </w:pPr>
      <w:r>
        <w:t xml:space="preserve">Full production deployment of a mobile application for farmers.</w:t>
      </w:r>
    </w:p>
    <w:p>
      <w:pPr>
        <w:numPr>
          <w:ilvl w:val="0"/>
          <w:numId w:val="1004"/>
        </w:numPr>
        <w:pStyle w:val="Compact"/>
      </w:pPr>
      <w:r>
        <w:t xml:space="preserve">Large-scale field measurement or new IoT sensor installation.</w:t>
      </w:r>
    </w:p>
    <w:p>
      <w:pPr>
        <w:numPr>
          <w:ilvl w:val="0"/>
          <w:numId w:val="1004"/>
        </w:numPr>
        <w:pStyle w:val="Compact"/>
      </w:pPr>
      <w:r>
        <w:t xml:space="preserve">Macroeconomic analysis or evaluation of public policy.</w:t>
      </w:r>
    </w:p>
    <w:p>
      <w:pPr>
        <w:numPr>
          <w:ilvl w:val="0"/>
          <w:numId w:val="1004"/>
        </w:numPr>
        <w:pStyle w:val="Compact"/>
      </w:pPr>
      <w:r>
        <w:t xml:space="preserve">Use of model outputs as a substitute for expert agronomic judgement.</w:t>
      </w:r>
    </w:p>
    <w:bookmarkEnd w:id="30"/>
    <w:bookmarkEnd w:id="31"/>
    <w:bookmarkStart w:id="38" w:name="methodology"/>
    <w:p>
      <w:pPr>
        <w:pStyle w:val="Heading1"/>
      </w:pPr>
      <w:r>
        <w:t xml:space="preserve">6. Methodology</w:t>
      </w:r>
    </w:p>
    <w:bookmarkStart w:id="32" w:name="analytical-framework"/>
    <w:p>
      <w:pPr>
        <w:pStyle w:val="Heading2"/>
      </w:pPr>
      <w:r>
        <w:t xml:space="preserve">6.1 Analytical Framework</w:t>
      </w:r>
    </w:p>
    <w:p>
      <w:pPr>
        <w:pStyle w:val="FirstParagraph"/>
      </w:pPr>
      <w:r>
        <w:t xml:space="preserve">The project follows CRISP-DM (Shearer, 2000), comprising business understanding, data understanding, data preparation, modelling, evaluation, and deployment. The process is iterative, and each phase has a defined output.</w:t>
      </w:r>
    </w:p>
    <w:bookmarkEnd w:id="32"/>
    <w:bookmarkStart w:id="33" w:name="data-collection"/>
    <w:p>
      <w:pPr>
        <w:pStyle w:val="Heading2"/>
      </w:pPr>
      <w:r>
        <w:t xml:space="preserve">6.2 Data Collection</w:t>
      </w:r>
    </w:p>
    <w:tbl>
      <w:tblPr>
        <w:tblStyle w:val="Table"/>
        <w:tblW w:type="pct" w:w="5000"/>
        <w:tblLook w:firstRow="1" w:lastRow="0" w:firstColumn="0" w:lastColumn="0" w:noHBand="0" w:noVBand="0" w:val="0020"/>
        <w:jc w:val="start"/>
      </w:tblPr>
      <w:tblGrid>
        <w:gridCol w:w="1613"/>
        <w:gridCol w:w="2640"/>
        <w:gridCol w:w="1173"/>
        <w:gridCol w:w="2493"/>
      </w:tblGrid>
      <w:tr>
        <w:trPr>
          <w:tblHeader w:val="true"/>
        </w:trPr>
        <w:tc>
          <w:tcPr/>
          <w:p>
            <w:pPr>
              <w:pStyle w:val="Compact"/>
              <w:jc w:val="left"/>
            </w:pPr>
            <w:r>
              <w:t xml:space="preserve">Data type</w:t>
            </w:r>
          </w:p>
        </w:tc>
        <w:tc>
          <w:tcPr/>
          <w:p>
            <w:pPr>
              <w:pStyle w:val="Compact"/>
              <w:jc w:val="left"/>
            </w:pPr>
            <w:r>
              <w:t xml:space="preserve">Potential source</w:t>
            </w:r>
          </w:p>
        </w:tc>
        <w:tc>
          <w:tcPr/>
          <w:p>
            <w:pPr>
              <w:pStyle w:val="Compact"/>
              <w:jc w:val="left"/>
            </w:pPr>
            <w:r>
              <w:t xml:space="preserve">Format</w:t>
            </w:r>
          </w:p>
        </w:tc>
        <w:tc>
          <w:tcPr/>
          <w:p>
            <w:pPr>
              <w:pStyle w:val="Compact"/>
              <w:jc w:val="left"/>
            </w:pPr>
            <w:r>
              <w:t xml:space="preserve">Role in project</w:t>
            </w:r>
          </w:p>
        </w:tc>
      </w:tr>
      <w:tr>
        <w:tc>
          <w:tcPr/>
          <w:p>
            <w:pPr>
              <w:pStyle w:val="Compact"/>
              <w:jc w:val="left"/>
            </w:pPr>
            <w:r>
              <w:t xml:space="preserve">Multispectral imagery</w:t>
            </w:r>
          </w:p>
        </w:tc>
        <w:tc>
          <w:tcPr/>
          <w:p>
            <w:pPr>
              <w:pStyle w:val="Compact"/>
              <w:jc w:val="left"/>
            </w:pPr>
            <w:r>
              <w:t xml:space="preserve">Sentinel-2 (Copernicus)</w:t>
            </w:r>
          </w:p>
        </w:tc>
        <w:tc>
          <w:tcPr/>
          <w:p>
            <w:pPr>
              <w:pStyle w:val="Compact"/>
              <w:jc w:val="left"/>
            </w:pPr>
            <w:r>
              <w:t xml:space="preserve">GeoTIFF</w:t>
            </w:r>
          </w:p>
        </w:tc>
        <w:tc>
          <w:tcPr/>
          <w:p>
            <w:pPr>
              <w:pStyle w:val="Compact"/>
              <w:jc w:val="left"/>
            </w:pPr>
            <w:r>
              <w:t xml:space="preserve">NDVI and other vegetation indices</w:t>
            </w:r>
          </w:p>
        </w:tc>
      </w:tr>
      <w:tr>
        <w:tc>
          <w:tcPr/>
          <w:p>
            <w:pPr>
              <w:pStyle w:val="Compact"/>
              <w:jc w:val="left"/>
            </w:pPr>
            <w:r>
              <w:t xml:space="preserve">Daily climate data</w:t>
            </w:r>
          </w:p>
        </w:tc>
        <w:tc>
          <w:tcPr/>
          <w:p>
            <w:pPr>
              <w:pStyle w:val="Compact"/>
              <w:jc w:val="left"/>
            </w:pPr>
            <w:r>
              <w:t xml:space="preserve">NASA POWER; local meteorological agency</w:t>
            </w:r>
          </w:p>
        </w:tc>
        <w:tc>
          <w:tcPr/>
          <w:p>
            <w:pPr>
              <w:pStyle w:val="Compact"/>
              <w:jc w:val="left"/>
            </w:pPr>
            <w:r>
              <w:t xml:space="preserve">CSV / API</w:t>
            </w:r>
          </w:p>
        </w:tc>
        <w:tc>
          <w:tcPr/>
          <w:p>
            <w:pPr>
              <w:pStyle w:val="Compact"/>
              <w:jc w:val="left"/>
            </w:pPr>
            <w:r>
              <w:t xml:space="preserve">Rainfall, temperature, humidity features</w:t>
            </w:r>
          </w:p>
        </w:tc>
      </w:tr>
      <w:tr>
        <w:tc>
          <w:tcPr/>
          <w:p>
            <w:pPr>
              <w:pStyle w:val="Compact"/>
              <w:jc w:val="left"/>
            </w:pPr>
            <w:r>
              <w:t xml:space="preserve">Production statistics</w:t>
            </w:r>
          </w:p>
        </w:tc>
        <w:tc>
          <w:tcPr/>
          <w:p>
            <w:pPr>
              <w:pStyle w:val="Compact"/>
              <w:jc w:val="left"/>
            </w:pPr>
            <w:r>
              <w:t xml:space="preserve">BPS (Indonesia); FAOSTAT</w:t>
            </w:r>
          </w:p>
        </w:tc>
        <w:tc>
          <w:tcPr/>
          <w:p>
            <w:pPr>
              <w:pStyle w:val="Compact"/>
              <w:jc w:val="left"/>
            </w:pPr>
            <w:r>
              <w:t xml:space="preserve">CSV / Excel</w:t>
            </w:r>
          </w:p>
        </w:tc>
        <w:tc>
          <w:tcPr/>
          <w:p>
            <w:pPr>
              <w:pStyle w:val="Compact"/>
              <w:jc w:val="left"/>
            </w:pPr>
            <w:r>
              <w:t xml:space="preserve">Yield target labels</w:t>
            </w:r>
          </w:p>
        </w:tc>
      </w:tr>
      <w:tr>
        <w:tc>
          <w:tcPr/>
          <w:p>
            <w:pPr>
              <w:pStyle w:val="Compact"/>
              <w:jc w:val="left"/>
            </w:pPr>
            <w:r>
              <w:t xml:space="preserve">Leaf images</w:t>
            </w:r>
          </w:p>
        </w:tc>
        <w:tc>
          <w:tcPr/>
          <w:p>
            <w:pPr>
              <w:pStyle w:val="Compact"/>
              <w:jc w:val="left"/>
            </w:pPr>
            <w:r>
              <w:t xml:space="preserve">PlantVillage; limited field images</w:t>
            </w:r>
          </w:p>
        </w:tc>
        <w:tc>
          <w:tcPr/>
          <w:p>
            <w:pPr>
              <w:pStyle w:val="Compact"/>
              <w:jc w:val="left"/>
            </w:pPr>
            <w:r>
              <w:t xml:space="preserve">JPG / PNG</w:t>
            </w:r>
          </w:p>
        </w:tc>
        <w:tc>
          <w:tcPr/>
          <w:p>
            <w:pPr>
              <w:pStyle w:val="Compact"/>
              <w:jc w:val="left"/>
            </w:pPr>
            <w:r>
              <w:t xml:space="preserve">Disease classification training</w:t>
            </w:r>
          </w:p>
        </w:tc>
      </w:tr>
      <w:tr>
        <w:tc>
          <w:tcPr/>
          <w:p>
            <w:pPr>
              <w:pStyle w:val="Compact"/>
              <w:jc w:val="left"/>
            </w:pPr>
            <w:r>
              <w:t xml:space="preserve">Commodity prices</w:t>
            </w:r>
          </w:p>
        </w:tc>
        <w:tc>
          <w:tcPr/>
          <w:p>
            <w:pPr>
              <w:pStyle w:val="Compact"/>
              <w:jc w:val="left"/>
            </w:pPr>
            <w:r>
              <w:t xml:space="preserve">Government food price portals; market panels</w:t>
            </w:r>
          </w:p>
        </w:tc>
        <w:tc>
          <w:tcPr/>
          <w:p>
            <w:pPr>
              <w:pStyle w:val="Compact"/>
              <w:jc w:val="left"/>
            </w:pPr>
            <w:r>
              <w:t xml:space="preserve">CSV / API</w:t>
            </w:r>
          </w:p>
        </w:tc>
        <w:tc>
          <w:tcPr/>
          <w:p>
            <w:pPr>
              <w:pStyle w:val="Compact"/>
              <w:jc w:val="left"/>
            </w:pPr>
            <w:r>
              <w:t xml:space="preserve">Price time series</w:t>
            </w:r>
          </w:p>
        </w:tc>
      </w:tr>
      <w:tr>
        <w:tc>
          <w:tcPr/>
          <w:p>
            <w:pPr>
              <w:pStyle w:val="Compact"/>
              <w:jc w:val="left"/>
            </w:pPr>
            <w:r>
              <w:t xml:space="preserve">Soil data</w:t>
            </w:r>
          </w:p>
        </w:tc>
        <w:tc>
          <w:tcPr/>
          <w:p>
            <w:pPr>
              <w:pStyle w:val="Compact"/>
              <w:jc w:val="left"/>
            </w:pPr>
            <w:r>
              <w:t xml:space="preserve">National soil maps; laboratory results</w:t>
            </w:r>
          </w:p>
        </w:tc>
        <w:tc>
          <w:tcPr/>
          <w:p>
            <w:pPr>
              <w:pStyle w:val="Compact"/>
              <w:jc w:val="left"/>
            </w:pPr>
            <w:r>
              <w:t xml:space="preserve">Shapefile / CSV</w:t>
            </w:r>
          </w:p>
        </w:tc>
        <w:tc>
          <w:tcPr/>
          <w:p>
            <w:pPr>
              <w:pStyle w:val="Compact"/>
              <w:jc w:val="left"/>
            </w:pPr>
            <w:r>
              <w:t xml:space="preserve">Land condition features</w:t>
            </w:r>
          </w:p>
        </w:tc>
      </w:tr>
    </w:tbl>
    <w:p>
      <w:pPr>
        <w:pStyle w:val="BodyText"/>
      </w:pPr>
      <w:r>
        <w:t xml:space="preserve">Each source is recorded in a data catalogue with its licence, coverage, resolution, and retrieval date, supporting traceability and compliance.</w:t>
      </w:r>
    </w:p>
    <w:bookmarkEnd w:id="33"/>
    <w:bookmarkStart w:id="34" w:name="data-cleaning-and-preparation"/>
    <w:p>
      <w:pPr>
        <w:pStyle w:val="Heading2"/>
      </w:pPr>
      <w:r>
        <w:t xml:space="preserve">6.3 Data Cleaning and Preparation</w:t>
      </w:r>
    </w:p>
    <w:p>
      <w:pPr>
        <w:numPr>
          <w:ilvl w:val="0"/>
          <w:numId w:val="1005"/>
        </w:numPr>
        <w:pStyle w:val="Compact"/>
      </w:pPr>
      <w:r>
        <w:rPr>
          <w:bCs/>
          <w:b/>
        </w:rPr>
        <w:t xml:space="preserve">Missing values:</w:t>
      </w:r>
      <w:r>
        <w:t xml:space="preserve"> </w:t>
      </w:r>
      <w:r>
        <w:t xml:space="preserve">time-based interpolation for daily series; regional imputation for tabular records.</w:t>
      </w:r>
    </w:p>
    <w:p>
      <w:pPr>
        <w:numPr>
          <w:ilvl w:val="0"/>
          <w:numId w:val="1005"/>
        </w:numPr>
        <w:pStyle w:val="Compact"/>
      </w:pPr>
      <w:r>
        <w:rPr>
          <w:bCs/>
          <w:b/>
        </w:rPr>
        <w:t xml:space="preserve">Outliers:</w:t>
      </w:r>
      <w:r>
        <w:t xml:space="preserve"> </w:t>
      </w:r>
      <w:r>
        <w:t xml:space="preserve">IQR-based detection, verified against source documentation before removal.</w:t>
      </w:r>
    </w:p>
    <w:p>
      <w:pPr>
        <w:numPr>
          <w:ilvl w:val="0"/>
          <w:numId w:val="1005"/>
        </w:numPr>
        <w:pStyle w:val="Compact"/>
      </w:pPr>
      <w:r>
        <w:rPr>
          <w:bCs/>
          <w:b/>
        </w:rPr>
        <w:t xml:space="preserve">Temporal and spatial alignment:</w:t>
      </w:r>
      <w:r>
        <w:t xml:space="preserve"> </w:t>
      </w:r>
      <w:r>
        <w:t xml:space="preserve">aggregation of daily data to growing-season or monthly level.</w:t>
      </w:r>
    </w:p>
    <w:p>
      <w:pPr>
        <w:numPr>
          <w:ilvl w:val="0"/>
          <w:numId w:val="1005"/>
        </w:numPr>
        <w:pStyle w:val="Compact"/>
      </w:pPr>
      <w:r>
        <w:rPr>
          <w:bCs/>
          <w:b/>
        </w:rPr>
        <w:t xml:space="preserve">Imagery:</w:t>
      </w:r>
      <w:r>
        <w:t xml:space="preserve"> </w:t>
      </w:r>
      <w:r>
        <w:t xml:space="preserve">cloud masking of Sentinel-2 scenes, cropping, and normalisation.</w:t>
      </w:r>
    </w:p>
    <w:p>
      <w:pPr>
        <w:numPr>
          <w:ilvl w:val="0"/>
          <w:numId w:val="1005"/>
        </w:numPr>
        <w:pStyle w:val="Compact"/>
      </w:pPr>
      <w:r>
        <w:rPr>
          <w:bCs/>
          <w:b/>
        </w:rPr>
        <w:t xml:space="preserve">Leakage prevention:</w:t>
      </w:r>
      <w:r>
        <w:t xml:space="preserve"> </w:t>
      </w:r>
      <w:r>
        <w:t xml:space="preserve">time-based train/test splits so that no future information enters training data.</w:t>
      </w:r>
    </w:p>
    <w:bookmarkEnd w:id="34"/>
    <w:bookmarkStart w:id="35" w:name="feature-engineering-and-modelling"/>
    <w:p>
      <w:pPr>
        <w:pStyle w:val="Heading2"/>
      </w:pPr>
      <w:r>
        <w:t xml:space="preserve">6.4 Feature Engineering and Modelling</w:t>
      </w:r>
    </w:p>
    <w:p>
      <w:pPr>
        <w:numPr>
          <w:ilvl w:val="0"/>
          <w:numId w:val="1006"/>
        </w:numPr>
        <w:pStyle w:val="Compact"/>
      </w:pPr>
      <w:r>
        <w:rPr>
          <w:bCs/>
          <w:b/>
        </w:rPr>
        <w:t xml:space="preserve">Yield model:</w:t>
      </w:r>
      <w:r>
        <w:t xml:space="preserve"> </w:t>
      </w:r>
      <w:r>
        <w:t xml:space="preserve">NDVI and EVI at key growth stages, cumulative rainfall, number of extreme-temperature days, soil attributes. Baselines are linear regression and Random Forest; the main candidates are gradient boosting models (XGBoost or LightGBM).</w:t>
      </w:r>
    </w:p>
    <w:p>
      <w:pPr>
        <w:numPr>
          <w:ilvl w:val="0"/>
          <w:numId w:val="1006"/>
        </w:numPr>
        <w:pStyle w:val="Compact"/>
      </w:pPr>
      <w:r>
        <w:rPr>
          <w:bCs/>
          <w:b/>
        </w:rPr>
        <w:t xml:space="preserve">Disease model:</w:t>
      </w:r>
      <w:r>
        <w:t xml:space="preserve"> </w:t>
      </w:r>
      <w:r>
        <w:t xml:space="preserve">a lightweight CNN with transfer learning (for example MobileNet or EfficientNet), chosen for limited computing resources.</w:t>
      </w:r>
    </w:p>
    <w:p>
      <w:pPr>
        <w:numPr>
          <w:ilvl w:val="0"/>
          <w:numId w:val="1006"/>
        </w:numPr>
        <w:pStyle w:val="Compact"/>
      </w:pPr>
      <w:r>
        <w:rPr>
          <w:bCs/>
          <w:b/>
        </w:rPr>
        <w:t xml:space="preserve">Price model:</w:t>
      </w:r>
      <w:r>
        <w:t xml:space="preserve"> </w:t>
      </w:r>
      <w:r>
        <w:t xml:space="preserve">ARIMA/SARIMA as a statistical baseline, compared with Prophet and gradient boosting with lagged features.</w:t>
      </w:r>
    </w:p>
    <w:bookmarkEnd w:id="35"/>
    <w:bookmarkStart w:id="36" w:name="validation-and-evaluation"/>
    <w:p>
      <w:pPr>
        <w:pStyle w:val="Heading2"/>
      </w:pPr>
      <w:r>
        <w:t xml:space="preserve">6.5 Validation and Evaluation</w:t>
      </w:r>
    </w:p>
    <w:p>
      <w:pPr>
        <w:pStyle w:val="FirstParagraph"/>
      </w:pPr>
      <w:r>
        <w:t xml:space="preserve">Region-grouped k-fold cross-validation tests generalisation to regions not seen during training. Regression models are evaluated with RMSE, MAE, MAPE, and R². Classification models are evaluated with accuracy, precision, recall, and F1-score. Results are also reviewed with agronomy experts for plausibility.</w:t>
      </w:r>
    </w:p>
    <w:bookmarkEnd w:id="36"/>
    <w:bookmarkStart w:id="37" w:name="ethics-privacy-and-sustainability"/>
    <w:p>
      <w:pPr>
        <w:pStyle w:val="Heading2"/>
      </w:pPr>
      <w:r>
        <w:t xml:space="preserve">6.6 Ethics, Privacy, and Sustainability</w:t>
      </w:r>
    </w:p>
    <w:p>
      <w:pPr>
        <w:pStyle w:val="FirstParagraph"/>
      </w:pPr>
      <w:r>
        <w:t xml:space="preserve">Data relating to individual farmers is anonymised and used only with consent. Models are documented with model cards (Mitchell et al., 2019), which state their intended use and limitations. The project prefers computationally efficient models, which reduces energy use and makes deployment in low-resource settings more realistic.</w:t>
      </w:r>
    </w:p>
    <w:bookmarkEnd w:id="37"/>
    <w:bookmarkEnd w:id="38"/>
    <w:bookmarkStart w:id="42" w:name="key-performance-indicators"/>
    <w:p>
      <w:pPr>
        <w:pStyle w:val="Heading1"/>
      </w:pPr>
      <w:r>
        <w:t xml:space="preserve">7. Key Performance Indicators</w:t>
      </w:r>
    </w:p>
    <w:p>
      <w:pPr>
        <w:pStyle w:val="FirstParagraph"/>
      </w:pPr>
      <w:r>
        <w:t xml:space="preserve">KPIs are grouped into technical, process, and impact measures so that success is not judged on model accuracy alone.</w:t>
      </w:r>
    </w:p>
    <w:bookmarkStart w:id="39" w:name="technical-kpis"/>
    <w:p>
      <w:pPr>
        <w:pStyle w:val="Heading2"/>
      </w:pPr>
      <w:r>
        <w:t xml:space="preserve">7.1 Technical KPIs</w:t>
      </w:r>
    </w:p>
    <w:tbl>
      <w:tblPr>
        <w:tblStyle w:val="Table"/>
        <w:tblW w:type="pct" w:w="5000"/>
        <w:tblLook w:firstRow="1" w:lastRow="0" w:firstColumn="0" w:lastColumn="0" w:noHBand="0" w:noVBand="0" w:val="0020"/>
        <w:jc w:val="start"/>
      </w:tblPr>
      <w:tblGrid>
        <w:gridCol w:w="1100"/>
        <w:gridCol w:w="2640"/>
        <w:gridCol w:w="1760"/>
        <w:gridCol w:w="242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w:t>
            </w:r>
          </w:p>
        </w:tc>
        <w:tc>
          <w:tcPr/>
          <w:p>
            <w:pPr>
              <w:pStyle w:val="Compact"/>
              <w:jc w:val="left"/>
            </w:pPr>
            <w:r>
              <w:t xml:space="preserve">Frequency</w:t>
            </w:r>
          </w:p>
        </w:tc>
      </w:tr>
      <w:tr>
        <w:tc>
          <w:tcPr/>
          <w:p>
            <w:pPr>
              <w:pStyle w:val="Compact"/>
              <w:jc w:val="left"/>
            </w:pPr>
            <w:r>
              <w:t xml:space="preserve">Yield model R²</w:t>
            </w:r>
          </w:p>
        </w:tc>
        <w:tc>
          <w:tcPr/>
          <w:p>
            <w:pPr>
              <w:pStyle w:val="Compact"/>
              <w:jc w:val="left"/>
            </w:pPr>
            <w:r>
              <w:t xml:space="preserve">Share of yield variance explained</w:t>
            </w:r>
          </w:p>
        </w:tc>
        <w:tc>
          <w:tcPr/>
          <w:p>
            <w:pPr>
              <w:pStyle w:val="Compact"/>
              <w:jc w:val="left"/>
            </w:pPr>
            <w:r>
              <w:t xml:space="preserve">≥ 0.70</w:t>
            </w:r>
          </w:p>
        </w:tc>
        <w:tc>
          <w:tcPr/>
          <w:p>
            <w:pPr>
              <w:pStyle w:val="Compact"/>
              <w:jc w:val="left"/>
            </w:pPr>
            <w:r>
              <w:t xml:space="preserve">Each model iteration</w:t>
            </w:r>
          </w:p>
        </w:tc>
      </w:tr>
      <w:tr>
        <w:tc>
          <w:tcPr/>
          <w:p>
            <w:pPr>
              <w:pStyle w:val="Compact"/>
              <w:jc w:val="left"/>
            </w:pPr>
            <w:r>
              <w:t xml:space="preserve">Yield model MAPE</w:t>
            </w:r>
          </w:p>
        </w:tc>
        <w:tc>
          <w:tcPr/>
          <w:p>
            <w:pPr>
              <w:pStyle w:val="Compact"/>
              <w:jc w:val="left"/>
            </w:pPr>
            <w:r>
              <w:t xml:space="preserve">Mean absolute percentage error</w:t>
            </w:r>
          </w:p>
        </w:tc>
        <w:tc>
          <w:tcPr/>
          <w:p>
            <w:pPr>
              <w:pStyle w:val="Compact"/>
              <w:jc w:val="left"/>
            </w:pPr>
            <w:r>
              <w:t xml:space="preserve">≤ 15%</w:t>
            </w:r>
          </w:p>
        </w:tc>
        <w:tc>
          <w:tcPr/>
          <w:p>
            <w:pPr>
              <w:pStyle w:val="Compact"/>
              <w:jc w:val="left"/>
            </w:pPr>
            <w:r>
              <w:t xml:space="preserve">Each model iteration</w:t>
            </w:r>
          </w:p>
        </w:tc>
      </w:tr>
      <w:tr>
        <w:tc>
          <w:tcPr/>
          <w:p>
            <w:pPr>
              <w:pStyle w:val="Compact"/>
              <w:jc w:val="left"/>
            </w:pPr>
            <w:r>
              <w:t xml:space="preserve">Disease accuracy</w:t>
            </w:r>
          </w:p>
        </w:tc>
        <w:tc>
          <w:tcPr/>
          <w:p>
            <w:pPr>
              <w:pStyle w:val="Compact"/>
              <w:jc w:val="left"/>
            </w:pPr>
            <w:r>
              <w:t xml:space="preserve">Proportion of correct predictions on test data</w:t>
            </w:r>
          </w:p>
        </w:tc>
        <w:tc>
          <w:tcPr/>
          <w:p>
            <w:pPr>
              <w:pStyle w:val="Compact"/>
              <w:jc w:val="left"/>
            </w:pPr>
            <w:r>
              <w:t xml:space="preserve">≥ 90%</w:t>
            </w:r>
          </w:p>
        </w:tc>
        <w:tc>
          <w:tcPr/>
          <w:p>
            <w:pPr>
              <w:pStyle w:val="Compact"/>
              <w:jc w:val="left"/>
            </w:pPr>
            <w:r>
              <w:t xml:space="preserve">Each model iteration</w:t>
            </w:r>
          </w:p>
        </w:tc>
      </w:tr>
      <w:tr>
        <w:tc>
          <w:tcPr/>
          <w:p>
            <w:pPr>
              <w:pStyle w:val="Compact"/>
              <w:jc w:val="left"/>
            </w:pPr>
            <w:r>
              <w:t xml:space="preserve">Disease macro F1</w:t>
            </w:r>
          </w:p>
        </w:tc>
        <w:tc>
          <w:tcPr/>
          <w:p>
            <w:pPr>
              <w:pStyle w:val="Compact"/>
              <w:jc w:val="left"/>
            </w:pPr>
            <w:r>
              <w:t xml:space="preserve">Balance of precision and recall across classes</w:t>
            </w:r>
          </w:p>
        </w:tc>
        <w:tc>
          <w:tcPr/>
          <w:p>
            <w:pPr>
              <w:pStyle w:val="Compact"/>
              <w:jc w:val="left"/>
            </w:pPr>
            <w:r>
              <w:t xml:space="preserve">≥ 0.85</w:t>
            </w:r>
          </w:p>
        </w:tc>
        <w:tc>
          <w:tcPr/>
          <w:p>
            <w:pPr>
              <w:pStyle w:val="Compact"/>
              <w:jc w:val="left"/>
            </w:pPr>
            <w:r>
              <w:t xml:space="preserve">Each model iteration</w:t>
            </w:r>
          </w:p>
        </w:tc>
      </w:tr>
      <w:tr>
        <w:tc>
          <w:tcPr/>
          <w:p>
            <w:pPr>
              <w:pStyle w:val="Compact"/>
              <w:jc w:val="left"/>
            </w:pPr>
            <w:r>
              <w:t xml:space="preserve">Price forecast MAPE</w:t>
            </w:r>
          </w:p>
        </w:tc>
        <w:tc>
          <w:tcPr/>
          <w:p>
            <w:pPr>
              <w:pStyle w:val="Compact"/>
              <w:jc w:val="left"/>
            </w:pPr>
            <w:r>
              <w:t xml:space="preserve">Error for 4-week horizon</w:t>
            </w:r>
          </w:p>
        </w:tc>
        <w:tc>
          <w:tcPr/>
          <w:p>
            <w:pPr>
              <w:pStyle w:val="Compact"/>
              <w:jc w:val="left"/>
            </w:pPr>
            <w:r>
              <w:t xml:space="preserve">≤ 10%</w:t>
            </w:r>
          </w:p>
        </w:tc>
        <w:tc>
          <w:tcPr/>
          <w:p>
            <w:pPr>
              <w:pStyle w:val="Compact"/>
              <w:jc w:val="left"/>
            </w:pPr>
            <w:r>
              <w:t xml:space="preserve">Monthly</w:t>
            </w:r>
          </w:p>
        </w:tc>
      </w:tr>
    </w:tbl>
    <w:bookmarkEnd w:id="39"/>
    <w:bookmarkStart w:id="40" w:name="process-kpis"/>
    <w:p>
      <w:pPr>
        <w:pStyle w:val="Heading2"/>
      </w:pPr>
      <w:r>
        <w:t xml:space="preserve">7.2 Process KPIs</w:t>
      </w:r>
    </w:p>
    <w:tbl>
      <w:tblPr>
        <w:tblStyle w:val="Table"/>
        <w:tblW w:type="pct" w:w="5000"/>
        <w:tblLook w:firstRow="1" w:lastRow="0" w:firstColumn="0" w:lastColumn="0" w:noHBand="0" w:noVBand="0" w:val="0020"/>
        <w:jc w:val="start"/>
      </w:tblPr>
      <w:tblGrid>
        <w:gridCol w:w="1584"/>
        <w:gridCol w:w="3801"/>
        <w:gridCol w:w="2534"/>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w:t>
            </w:r>
          </w:p>
        </w:tc>
      </w:tr>
      <w:tr>
        <w:tc>
          <w:tcPr/>
          <w:p>
            <w:pPr>
              <w:pStyle w:val="Compact"/>
              <w:jc w:val="left"/>
            </w:pPr>
            <w:r>
              <w:t xml:space="preserve">Milestone timeliness</w:t>
            </w:r>
          </w:p>
        </w:tc>
        <w:tc>
          <w:tcPr/>
          <w:p>
            <w:pPr>
              <w:pStyle w:val="Compact"/>
              <w:jc w:val="left"/>
            </w:pPr>
            <w:r>
              <w:t xml:space="preserve">Share of milestones completed on schedule</w:t>
            </w:r>
          </w:p>
        </w:tc>
        <w:tc>
          <w:tcPr/>
          <w:p>
            <w:pPr>
              <w:pStyle w:val="Compact"/>
              <w:jc w:val="left"/>
            </w:pPr>
            <w:r>
              <w:t xml:space="preserve">≥ 85%</w:t>
            </w:r>
          </w:p>
        </w:tc>
      </w:tr>
      <w:tr>
        <w:tc>
          <w:tcPr/>
          <w:p>
            <w:pPr>
              <w:pStyle w:val="Compact"/>
              <w:jc w:val="left"/>
            </w:pPr>
            <w:r>
              <w:t xml:space="preserve">Data quality</w:t>
            </w:r>
          </w:p>
        </w:tc>
        <w:tc>
          <w:tcPr/>
          <w:p>
            <w:pPr>
              <w:pStyle w:val="Compact"/>
              <w:jc w:val="left"/>
            </w:pPr>
            <w:r>
              <w:t xml:space="preserve">Share of records passing completeness and consistency checks</w:t>
            </w:r>
          </w:p>
        </w:tc>
        <w:tc>
          <w:tcPr/>
          <w:p>
            <w:pPr>
              <w:pStyle w:val="Compact"/>
              <w:jc w:val="left"/>
            </w:pPr>
            <w:r>
              <w:t xml:space="preserve">≥ 95%</w:t>
            </w:r>
          </w:p>
        </w:tc>
      </w:tr>
      <w:tr>
        <w:tc>
          <w:tcPr/>
          <w:p>
            <w:pPr>
              <w:pStyle w:val="Compact"/>
              <w:jc w:val="left"/>
            </w:pPr>
            <w:r>
              <w:t xml:space="preserve">Reproducibility</w:t>
            </w:r>
          </w:p>
        </w:tc>
        <w:tc>
          <w:tcPr/>
          <w:p>
            <w:pPr>
              <w:pStyle w:val="Compact"/>
              <w:jc w:val="left"/>
            </w:pPr>
            <w:r>
              <w:t xml:space="preserve">Pipeline produces identical results with the same configuration</w:t>
            </w:r>
          </w:p>
        </w:tc>
        <w:tc>
          <w:tcPr/>
          <w:p>
            <w:pPr>
              <w:pStyle w:val="Compact"/>
              <w:jc w:val="left"/>
            </w:pPr>
            <w:r>
              <w:t xml:space="preserve">100%</w:t>
            </w:r>
          </w:p>
        </w:tc>
      </w:tr>
      <w:tr>
        <w:tc>
          <w:tcPr/>
          <w:p>
            <w:pPr>
              <w:pStyle w:val="Compact"/>
              <w:jc w:val="left"/>
            </w:pPr>
            <w:r>
              <w:t xml:space="preserve">Documentation</w:t>
            </w:r>
          </w:p>
        </w:tc>
        <w:tc>
          <w:tcPr/>
          <w:p>
            <w:pPr>
              <w:pStyle w:val="Compact"/>
              <w:jc w:val="left"/>
            </w:pPr>
            <w:r>
              <w:t xml:space="preserve">Share of modules with complete documentation</w:t>
            </w:r>
          </w:p>
        </w:tc>
        <w:tc>
          <w:tcPr/>
          <w:p>
            <w:pPr>
              <w:pStyle w:val="Compact"/>
              <w:jc w:val="left"/>
            </w:pPr>
            <w:r>
              <w:t xml:space="preserve">100%</w:t>
            </w:r>
          </w:p>
        </w:tc>
      </w:tr>
    </w:tbl>
    <w:bookmarkEnd w:id="40"/>
    <w:bookmarkStart w:id="41" w:name="impact-kpis"/>
    <w:p>
      <w:pPr>
        <w:pStyle w:val="Heading2"/>
      </w:pPr>
      <w:r>
        <w:t xml:space="preserve">7.3 Impact KPIs</w:t>
      </w:r>
    </w:p>
    <w:tbl>
      <w:tblPr>
        <w:tblStyle w:val="Table"/>
        <w:tblW w:type="pct" w:w="5000"/>
        <w:tblLook w:firstRow="1" w:lastRow="0" w:firstColumn="0" w:lastColumn="0" w:noHBand="0" w:noVBand="0" w:val="0020"/>
        <w:jc w:val="start"/>
      </w:tblPr>
      <w:tblGrid>
        <w:gridCol w:w="1100"/>
        <w:gridCol w:w="2640"/>
        <w:gridCol w:w="41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Indicative target</w:t>
            </w:r>
          </w:p>
        </w:tc>
      </w:tr>
      <w:tr>
        <w:tc>
          <w:tcPr/>
          <w:p>
            <w:pPr>
              <w:pStyle w:val="Compact"/>
              <w:jc w:val="left"/>
            </w:pPr>
            <w:r>
              <w:t xml:space="preserve">Disease detection time</w:t>
            </w:r>
          </w:p>
        </w:tc>
        <w:tc>
          <w:tcPr/>
          <w:p>
            <w:pPr>
              <w:pStyle w:val="Compact"/>
              <w:jc w:val="left"/>
            </w:pPr>
            <w:r>
              <w:t xml:space="preserve">Time from symptom onset to diagnosis with model support</w:t>
            </w:r>
          </w:p>
        </w:tc>
        <w:tc>
          <w:tcPr/>
          <w:p>
            <w:pPr>
              <w:pStyle w:val="Compact"/>
              <w:jc w:val="left"/>
            </w:pPr>
            <w:r>
              <w:t xml:space="preserve">≥ 30% reduction versus manual inspection (pilot)</w:t>
            </w:r>
          </w:p>
        </w:tc>
      </w:tr>
      <w:tr>
        <w:tc>
          <w:tcPr/>
          <w:p>
            <w:pPr>
              <w:pStyle w:val="Compact"/>
              <w:jc w:val="left"/>
            </w:pPr>
            <w:r>
              <w:t xml:space="preserve">Recommendation adoption</w:t>
            </w:r>
          </w:p>
        </w:tc>
        <w:tc>
          <w:tcPr/>
          <w:p>
            <w:pPr>
              <w:pStyle w:val="Compact"/>
              <w:jc w:val="left"/>
            </w:pPr>
            <w:r>
              <w:t xml:space="preserve">Share of pilot users acting on model recommendations</w:t>
            </w:r>
          </w:p>
        </w:tc>
        <w:tc>
          <w:tcPr/>
          <w:p>
            <w:pPr>
              <w:pStyle w:val="Compact"/>
              <w:jc w:val="left"/>
            </w:pPr>
            <w:r>
              <w:t xml:space="preserve">≥ 60% (pilot)</w:t>
            </w:r>
          </w:p>
        </w:tc>
      </w:tr>
      <w:tr>
        <w:tc>
          <w:tcPr/>
          <w:p>
            <w:pPr>
              <w:pStyle w:val="Compact"/>
              <w:jc w:val="left"/>
            </w:pPr>
            <w:r>
              <w:t xml:space="preserve">User satisfaction</w:t>
            </w:r>
          </w:p>
        </w:tc>
        <w:tc>
          <w:tcPr/>
          <w:p>
            <w:pPr>
              <w:pStyle w:val="Compact"/>
              <w:jc w:val="left"/>
            </w:pPr>
            <w:r>
              <w:t xml:space="preserve">Score from short user survey</w:t>
            </w:r>
          </w:p>
        </w:tc>
        <w:tc>
          <w:tcPr/>
          <w:p>
            <w:pPr>
              <w:pStyle w:val="Compact"/>
              <w:jc w:val="left"/>
            </w:pPr>
            <w:r>
              <w:t xml:space="preserve">≥ 4 out of 5</w:t>
            </w:r>
          </w:p>
        </w:tc>
      </w:tr>
    </w:tbl>
    <w:bookmarkEnd w:id="41"/>
    <w:bookmarkEnd w:id="42"/>
    <w:bookmarkStart w:id="43" w:name="timeline"/>
    <w:p>
      <w:pPr>
        <w:pStyle w:val="Heading1"/>
      </w:pPr>
      <w:r>
        <w:t xml:space="preserve">8. Timeline</w:t>
      </w:r>
    </w:p>
    <w:p>
      <w:pPr>
        <w:pStyle w:val="FirstParagraph"/>
      </w:pPr>
      <w:r>
        <w:t xml:space="preserve">The plan spans 12 weeks. Week 1 requires approximately 30 to 35 hours of work.</w:t>
      </w:r>
    </w:p>
    <w:tbl>
      <w:tblPr>
        <w:tblStyle w:val="Table"/>
        <w:tblW w:type="pct" w:w="5000"/>
        <w:tblLook w:firstRow="1" w:lastRow="0" w:firstColumn="0" w:lastColumn="0" w:noHBand="0" w:noVBand="0" w:val="0020"/>
        <w:jc w:val="start"/>
      </w:tblPr>
      <w:tblGrid>
        <w:gridCol w:w="1250"/>
        <w:gridCol w:w="1458"/>
        <w:gridCol w:w="3543"/>
        <w:gridCol w:w="1667"/>
      </w:tblGrid>
      <w:tr>
        <w:trPr>
          <w:tblHeader w:val="true"/>
        </w:trPr>
        <w:tc>
          <w:tcPr/>
          <w:p>
            <w:pPr>
              <w:pStyle w:val="Compact"/>
              <w:jc w:val="left"/>
            </w:pPr>
            <w:r>
              <w:t xml:space="preserve">Week</w:t>
            </w:r>
          </w:p>
        </w:tc>
        <w:tc>
          <w:tcPr/>
          <w:p>
            <w:pPr>
              <w:pStyle w:val="Compact"/>
              <w:jc w:val="left"/>
            </w:pPr>
            <w:r>
              <w:t xml:space="preserve">Phase</w:t>
            </w:r>
          </w:p>
        </w:tc>
        <w:tc>
          <w:tcPr/>
          <w:p>
            <w:pPr>
              <w:pStyle w:val="Compact"/>
              <w:jc w:val="left"/>
            </w:pPr>
            <w:r>
              <w:t xml:space="preserve">Main activities</w:t>
            </w:r>
          </w:p>
        </w:tc>
        <w:tc>
          <w:tcPr/>
          <w:p>
            <w:pPr>
              <w:pStyle w:val="Compact"/>
              <w:jc w:val="left"/>
            </w:pPr>
            <w:r>
              <w:t xml:space="preserve">Output</w:t>
            </w:r>
          </w:p>
        </w:tc>
      </w:tr>
      <w:tr>
        <w:tc>
          <w:tcPr/>
          <w:p>
            <w:pPr>
              <w:pStyle w:val="Compact"/>
              <w:jc w:val="left"/>
            </w:pPr>
            <w:r>
              <w:t xml:space="preserve">1</w:t>
            </w:r>
          </w:p>
        </w:tc>
        <w:tc>
          <w:tcPr/>
          <w:p>
            <w:pPr>
              <w:pStyle w:val="Compact"/>
              <w:jc w:val="left"/>
            </w:pPr>
            <w:r>
              <w:t xml:space="preserve">Strategic planning</w:t>
            </w:r>
          </w:p>
        </w:tc>
        <w:tc>
          <w:tcPr/>
          <w:p>
            <w:pPr>
              <w:pStyle w:val="Compact"/>
              <w:jc w:val="left"/>
            </w:pPr>
            <w:r>
              <w:t xml:space="preserve">Literature review, problem statement, objectives, KPIs, methodology, timeline, risks</w:t>
            </w:r>
          </w:p>
        </w:tc>
        <w:tc>
          <w:tcPr/>
          <w:p>
            <w:pPr>
              <w:pStyle w:val="Compact"/>
              <w:jc w:val="left"/>
            </w:pPr>
            <w:r>
              <w:t xml:space="preserve">This document</w:t>
            </w:r>
          </w:p>
        </w:tc>
      </w:tr>
      <w:tr>
        <w:tc>
          <w:tcPr/>
          <w:p>
            <w:pPr>
              <w:pStyle w:val="Compact"/>
              <w:jc w:val="left"/>
            </w:pPr>
            <w:r>
              <w:t xml:space="preserve">2</w:t>
            </w:r>
          </w:p>
        </w:tc>
        <w:tc>
          <w:tcPr/>
          <w:p>
            <w:pPr>
              <w:pStyle w:val="Compact"/>
              <w:jc w:val="left"/>
            </w:pPr>
            <w:r>
              <w:t xml:space="preserve">Data understanding</w:t>
            </w:r>
          </w:p>
        </w:tc>
        <w:tc>
          <w:tcPr/>
          <w:p>
            <w:pPr>
              <w:pStyle w:val="Compact"/>
              <w:jc w:val="left"/>
            </w:pPr>
            <w:r>
              <w:t xml:space="preserve">Source identification and access; data catalogue</w:t>
            </w:r>
          </w:p>
        </w:tc>
        <w:tc>
          <w:tcPr/>
          <w:p>
            <w:pPr>
              <w:pStyle w:val="Compact"/>
              <w:jc w:val="left"/>
            </w:pPr>
            <w:r>
              <w:t xml:space="preserve">Validated data catalogue</w:t>
            </w:r>
          </w:p>
        </w:tc>
      </w:tr>
      <w:tr>
        <w:tc>
          <w:tcPr/>
          <w:p>
            <w:pPr>
              <w:pStyle w:val="Compact"/>
              <w:jc w:val="left"/>
            </w:pPr>
            <w:r>
              <w:t xml:space="preserve">3</w:t>
            </w:r>
          </w:p>
        </w:tc>
        <w:tc>
          <w:tcPr/>
          <w:p>
            <w:pPr>
              <w:pStyle w:val="Compact"/>
              <w:jc w:val="left"/>
            </w:pPr>
            <w:r>
              <w:t xml:space="preserve">Data preparation</w:t>
            </w:r>
          </w:p>
        </w:tc>
        <w:tc>
          <w:tcPr/>
          <w:p>
            <w:pPr>
              <w:pStyle w:val="Compact"/>
              <w:jc w:val="left"/>
            </w:pPr>
            <w:r>
              <w:t xml:space="preserve">Cleaning, integration, early feature engineering</w:t>
            </w:r>
          </w:p>
        </w:tc>
        <w:tc>
          <w:tcPr/>
          <w:p>
            <w:pPr>
              <w:pStyle w:val="Compact"/>
              <w:jc w:val="left"/>
            </w:pPr>
            <w:r>
              <w:t xml:space="preserve">Integrated dataset (O1)</w:t>
            </w:r>
          </w:p>
        </w:tc>
      </w:tr>
      <w:tr>
        <w:tc>
          <w:tcPr/>
          <w:p>
            <w:pPr>
              <w:pStyle w:val="Compact"/>
              <w:jc w:val="left"/>
            </w:pPr>
            <w:r>
              <w:t xml:space="preserve">4–5</w:t>
            </w:r>
          </w:p>
        </w:tc>
        <w:tc>
          <w:tcPr/>
          <w:p>
            <w:pPr>
              <w:pStyle w:val="Compact"/>
              <w:jc w:val="left"/>
            </w:pPr>
            <w:r>
              <w:t xml:space="preserve">Exploratory analysis</w:t>
            </w:r>
          </w:p>
        </w:tc>
        <w:tc>
          <w:tcPr/>
          <w:p>
            <w:pPr>
              <w:pStyle w:val="Compact"/>
              <w:jc w:val="left"/>
            </w:pPr>
            <w:r>
              <w:t xml:space="preserve">EDA, correlation analysis, seasonal pattern analysis</w:t>
            </w:r>
          </w:p>
        </w:tc>
        <w:tc>
          <w:tcPr/>
          <w:p>
            <w:pPr>
              <w:pStyle w:val="Compact"/>
              <w:jc w:val="left"/>
            </w:pPr>
            <w:r>
              <w:t xml:space="preserve">EDA report and baselines</w:t>
            </w:r>
          </w:p>
        </w:tc>
      </w:tr>
      <w:tr>
        <w:tc>
          <w:tcPr/>
          <w:p>
            <w:pPr>
              <w:pStyle w:val="Compact"/>
              <w:jc w:val="left"/>
            </w:pPr>
            <w:r>
              <w:t xml:space="preserve">6–8</w:t>
            </w:r>
          </w:p>
        </w:tc>
        <w:tc>
          <w:tcPr/>
          <w:p>
            <w:pPr>
              <w:pStyle w:val="Compact"/>
              <w:jc w:val="left"/>
            </w:pPr>
            <w:r>
              <w:t xml:space="preserve">Yield model</w:t>
            </w:r>
          </w:p>
        </w:tc>
        <w:tc>
          <w:tcPr/>
          <w:p>
            <w:pPr>
              <w:pStyle w:val="Compact"/>
              <w:jc w:val="left"/>
            </w:pPr>
            <w:r>
              <w:t xml:space="preserve">Baseline and boosting models; grouped validation</w:t>
            </w:r>
          </w:p>
        </w:tc>
        <w:tc>
          <w:tcPr/>
          <w:p>
            <w:pPr>
              <w:pStyle w:val="Compact"/>
              <w:jc w:val="left"/>
            </w:pPr>
            <w:r>
              <w:t xml:space="preserve">Yield model (O2)</w:t>
            </w:r>
          </w:p>
        </w:tc>
      </w:tr>
      <w:tr>
        <w:tc>
          <w:tcPr/>
          <w:p>
            <w:pPr>
              <w:pStyle w:val="Compact"/>
              <w:jc w:val="left"/>
            </w:pPr>
            <w:r>
              <w:t xml:space="preserve">7–10</w:t>
            </w:r>
          </w:p>
        </w:tc>
        <w:tc>
          <w:tcPr/>
          <w:p>
            <w:pPr>
              <w:pStyle w:val="Compact"/>
              <w:jc w:val="left"/>
            </w:pPr>
            <w:r>
              <w:t xml:space="preserve">Disease model</w:t>
            </w:r>
          </w:p>
        </w:tc>
        <w:tc>
          <w:tcPr/>
          <w:p>
            <w:pPr>
              <w:pStyle w:val="Compact"/>
              <w:jc w:val="left"/>
            </w:pPr>
            <w:r>
              <w:t xml:space="preserve">CNN transfer learning; augmentation; evaluation</w:t>
            </w:r>
          </w:p>
        </w:tc>
        <w:tc>
          <w:tcPr/>
          <w:p>
            <w:pPr>
              <w:pStyle w:val="Compact"/>
              <w:jc w:val="left"/>
            </w:pPr>
            <w:r>
              <w:t xml:space="preserve">Classifier (O3)</w:t>
            </w:r>
          </w:p>
        </w:tc>
      </w:tr>
      <w:tr>
        <w:tc>
          <w:tcPr/>
          <w:p>
            <w:pPr>
              <w:pStyle w:val="Compact"/>
              <w:jc w:val="left"/>
            </w:pPr>
            <w:r>
              <w:t xml:space="preserve">9–11</w:t>
            </w:r>
          </w:p>
        </w:tc>
        <w:tc>
          <w:tcPr/>
          <w:p>
            <w:pPr>
              <w:pStyle w:val="Compact"/>
              <w:jc w:val="left"/>
            </w:pPr>
            <w:r>
              <w:t xml:space="preserve">Price model</w:t>
            </w:r>
          </w:p>
        </w:tc>
        <w:tc>
          <w:tcPr/>
          <w:p>
            <w:pPr>
              <w:pStyle w:val="Compact"/>
              <w:jc w:val="left"/>
            </w:pPr>
            <w:r>
              <w:t xml:space="preserve">Time-series forecasting; method comparison</w:t>
            </w:r>
          </w:p>
        </w:tc>
        <w:tc>
          <w:tcPr/>
          <w:p>
            <w:pPr>
              <w:pStyle w:val="Compact"/>
              <w:jc w:val="left"/>
            </w:pPr>
            <w:r>
              <w:t xml:space="preserve">Forecast model (O4)</w:t>
            </w:r>
          </w:p>
        </w:tc>
      </w:tr>
      <w:tr>
        <w:tc>
          <w:tcPr/>
          <w:p>
            <w:pPr>
              <w:pStyle w:val="Compact"/>
              <w:jc w:val="left"/>
            </w:pPr>
            <w:r>
              <w:t xml:space="preserve">11</w:t>
            </w:r>
          </w:p>
        </w:tc>
        <w:tc>
          <w:tcPr/>
          <w:p>
            <w:pPr>
              <w:pStyle w:val="Compact"/>
              <w:jc w:val="left"/>
            </w:pPr>
            <w:r>
              <w:t xml:space="preserve">Integrated evaluation</w:t>
            </w:r>
          </w:p>
        </w:tc>
        <w:tc>
          <w:tcPr/>
          <w:p>
            <w:pPr>
              <w:pStyle w:val="Compact"/>
              <w:jc w:val="left"/>
            </w:pPr>
            <w:r>
              <w:t xml:space="preserve">Sensitivity analysis, error analysis, expert review</w:t>
            </w:r>
          </w:p>
        </w:tc>
        <w:tc>
          <w:tcPr/>
          <w:p>
            <w:pPr>
              <w:pStyle w:val="Compact"/>
              <w:jc w:val="left"/>
            </w:pPr>
            <w:r>
              <w:t xml:space="preserve">Evaluation report</w:t>
            </w:r>
          </w:p>
        </w:tc>
      </w:tr>
      <w:tr>
        <w:tc>
          <w:tcPr/>
          <w:p>
            <w:pPr>
              <w:pStyle w:val="Compact"/>
              <w:jc w:val="left"/>
            </w:pPr>
            <w:r>
              <w:t xml:space="preserve">12</w:t>
            </w:r>
          </w:p>
        </w:tc>
        <w:tc>
          <w:tcPr/>
          <w:p>
            <w:pPr>
              <w:pStyle w:val="Compact"/>
              <w:jc w:val="left"/>
            </w:pPr>
            <w:r>
              <w:t xml:space="preserve">Deployment and reporting</w:t>
            </w:r>
          </w:p>
        </w:tc>
        <w:tc>
          <w:tcPr/>
          <w:p>
            <w:pPr>
              <w:pStyle w:val="Compact"/>
              <w:jc w:val="left"/>
            </w:pPr>
            <w:r>
              <w:t xml:space="preserve">Dashboard, final documentation, stakeholder presentation</w:t>
            </w:r>
          </w:p>
        </w:tc>
        <w:tc>
          <w:tcPr/>
          <w:p>
            <w:pPr>
              <w:pStyle w:val="Compact"/>
              <w:jc w:val="left"/>
            </w:pPr>
            <w:r>
              <w:t xml:space="preserve">Dashboard and final report (O5)</w:t>
            </w:r>
          </w:p>
        </w:tc>
      </w:tr>
    </w:tbl>
    <w:bookmarkEnd w:id="43"/>
    <w:bookmarkStart w:id="47" w:name="resource-plan"/>
    <w:p>
      <w:pPr>
        <w:pStyle w:val="Heading1"/>
      </w:pPr>
      <w:r>
        <w:t xml:space="preserve">9. Resource Plan</w:t>
      </w:r>
    </w:p>
    <w:bookmarkStart w:id="44" w:name="human-resources"/>
    <w:p>
      <w:pPr>
        <w:pStyle w:val="Heading2"/>
      </w:pPr>
      <w:r>
        <w:t xml:space="preserve">9.1 Human Resources</w:t>
      </w:r>
    </w:p>
    <w:tbl>
      <w:tblPr>
        <w:tblStyle w:val="Table"/>
        <w:tblW w:type="pct" w:w="5000"/>
        <w:tblLook w:firstRow="1" w:lastRow="0" w:firstColumn="0" w:lastColumn="0" w:noHBand="0" w:noVBand="0" w:val="0020"/>
        <w:jc w:val="start"/>
      </w:tblPr>
      <w:tblGrid>
        <w:gridCol w:w="1320"/>
        <w:gridCol w:w="3960"/>
        <w:gridCol w:w="2640"/>
      </w:tblGrid>
      <w:tr>
        <w:trPr>
          <w:tblHeader w:val="true"/>
        </w:trPr>
        <w:tc>
          <w:tcPr/>
          <w:p>
            <w:pPr>
              <w:pStyle w:val="Compact"/>
              <w:jc w:val="left"/>
            </w:pPr>
            <w:r>
              <w:t xml:space="preserve">Role</w:t>
            </w:r>
          </w:p>
        </w:tc>
        <w:tc>
          <w:tcPr/>
          <w:p>
            <w:pPr>
              <w:pStyle w:val="Compact"/>
              <w:jc w:val="left"/>
            </w:pPr>
            <w:r>
              <w:t xml:space="preserve">Responsibilities</w:t>
            </w:r>
          </w:p>
        </w:tc>
        <w:tc>
          <w:tcPr/>
          <w:p>
            <w:pPr>
              <w:pStyle w:val="Compact"/>
              <w:jc w:val="left"/>
            </w:pPr>
            <w:r>
              <w:t xml:space="preserve">Allocation</w:t>
            </w:r>
          </w:p>
        </w:tc>
      </w:tr>
      <w:tr>
        <w:tc>
          <w:tcPr/>
          <w:p>
            <w:pPr>
              <w:pStyle w:val="Compact"/>
              <w:jc w:val="left"/>
            </w:pPr>
            <w:r>
              <w:t xml:space="preserve">Project lead (intern)</w:t>
            </w:r>
          </w:p>
        </w:tc>
        <w:tc>
          <w:tcPr/>
          <w:p>
            <w:pPr>
              <w:pStyle w:val="Compact"/>
              <w:jc w:val="left"/>
            </w:pPr>
            <w:r>
              <w:t xml:space="preserve">Planning, analysis, modelling, documentation</w:t>
            </w:r>
          </w:p>
        </w:tc>
        <w:tc>
          <w:tcPr/>
          <w:p>
            <w:pPr>
              <w:pStyle w:val="Compact"/>
              <w:jc w:val="left"/>
            </w:pPr>
            <w:r>
              <w:t xml:space="preserve">Full-time (internship schedule)</w:t>
            </w:r>
          </w:p>
        </w:tc>
      </w:tr>
      <w:tr>
        <w:tc>
          <w:tcPr/>
          <w:p>
            <w:pPr>
              <w:pStyle w:val="Compact"/>
              <w:jc w:val="left"/>
            </w:pPr>
            <w:r>
              <w:t xml:space="preserve">Data science mentor</w:t>
            </w:r>
          </w:p>
        </w:tc>
        <w:tc>
          <w:tcPr/>
          <w:p>
            <w:pPr>
              <w:pStyle w:val="Compact"/>
              <w:jc w:val="left"/>
            </w:pPr>
            <w:r>
              <w:t xml:space="preserve">Methodology and code review</w:t>
            </w:r>
          </w:p>
        </w:tc>
        <w:tc>
          <w:tcPr/>
          <w:p>
            <w:pPr>
              <w:pStyle w:val="Compact"/>
              <w:jc w:val="left"/>
            </w:pPr>
            <w:r>
              <w:t xml:space="preserve">2 hours per week</w:t>
            </w:r>
          </w:p>
        </w:tc>
      </w:tr>
      <w:tr>
        <w:tc>
          <w:tcPr/>
          <w:p>
            <w:pPr>
              <w:pStyle w:val="Compact"/>
              <w:jc w:val="left"/>
            </w:pPr>
            <w:r>
              <w:t xml:space="preserve">Agronomy expert</w:t>
            </w:r>
          </w:p>
        </w:tc>
        <w:tc>
          <w:tcPr/>
          <w:p>
            <w:pPr>
              <w:pStyle w:val="Compact"/>
              <w:jc w:val="left"/>
            </w:pPr>
            <w:r>
              <w:t xml:space="preserve">Plausibility checks and domain features</w:t>
            </w:r>
          </w:p>
        </w:tc>
        <w:tc>
          <w:tcPr/>
          <w:p>
            <w:pPr>
              <w:pStyle w:val="Compact"/>
              <w:jc w:val="left"/>
            </w:pPr>
            <w:r>
              <w:t xml:space="preserve">1 hour per week, as needed</w:t>
            </w:r>
          </w:p>
        </w:tc>
      </w:tr>
      <w:tr>
        <w:tc>
          <w:tcPr/>
          <w:p>
            <w:pPr>
              <w:pStyle w:val="Compact"/>
              <w:jc w:val="left"/>
            </w:pPr>
            <w:r>
              <w:t xml:space="preserve">End-user representatives</w:t>
            </w:r>
          </w:p>
        </w:tc>
        <w:tc>
          <w:tcPr/>
          <w:p>
            <w:pPr>
              <w:pStyle w:val="Compact"/>
              <w:jc w:val="left"/>
            </w:pPr>
            <w:r>
              <w:t xml:space="preserve">Requirements input and pilot testing</w:t>
            </w:r>
          </w:p>
        </w:tc>
        <w:tc>
          <w:tcPr/>
          <w:p>
            <w:pPr>
              <w:pStyle w:val="Compact"/>
              <w:jc w:val="left"/>
            </w:pPr>
            <w:r>
              <w:t xml:space="preserve">As scheduled</w:t>
            </w:r>
          </w:p>
        </w:tc>
      </w:tr>
    </w:tbl>
    <w:bookmarkEnd w:id="44"/>
    <w:bookmarkStart w:id="45" w:name="technical-resources"/>
    <w:p>
      <w:pPr>
        <w:pStyle w:val="Heading2"/>
      </w:pPr>
      <w:r>
        <w:t xml:space="preserve">9.2 Technical Resources</w:t>
      </w:r>
    </w:p>
    <w:p>
      <w:pPr>
        <w:numPr>
          <w:ilvl w:val="0"/>
          <w:numId w:val="1007"/>
        </w:numPr>
        <w:pStyle w:val="Compact"/>
      </w:pPr>
      <w:r>
        <w:rPr>
          <w:bCs/>
          <w:b/>
        </w:rPr>
        <w:t xml:space="preserve">Hardware:</w:t>
      </w:r>
      <w:r>
        <w:t xml:space="preserve"> </w:t>
      </w:r>
      <w:r>
        <w:t xml:space="preserve">laptop or workstation with at least 16 GB RAM; GPU access through Google Colab or Kaggle for CNN training.</w:t>
      </w:r>
    </w:p>
    <w:p>
      <w:pPr>
        <w:numPr>
          <w:ilvl w:val="0"/>
          <w:numId w:val="1007"/>
        </w:numPr>
        <w:pStyle w:val="Compact"/>
      </w:pPr>
      <w:r>
        <w:rPr>
          <w:bCs/>
          <w:b/>
        </w:rPr>
        <w:t xml:space="preserve">Software:</w:t>
      </w:r>
      <w:r>
        <w:t xml:space="preserve"> </w:t>
      </w:r>
      <w:r>
        <w:t xml:space="preserve">Python 3.10+, pandas, NumPy, scikit-learn, XGBoost or LightGBM, PyTorch or TensorFlow, rasterio/GDAL, statsmodels, Prophet, Jupyter, Git.</w:t>
      </w:r>
    </w:p>
    <w:p>
      <w:pPr>
        <w:numPr>
          <w:ilvl w:val="0"/>
          <w:numId w:val="1007"/>
        </w:numPr>
        <w:pStyle w:val="Compact"/>
      </w:pPr>
      <w:r>
        <w:rPr>
          <w:bCs/>
          <w:b/>
        </w:rPr>
        <w:t xml:space="preserve">Storage:</w:t>
      </w:r>
      <w:r>
        <w:t xml:space="preserve"> </w:t>
      </w:r>
      <w:r>
        <w:t xml:space="preserve">approximately 50 GB initially for imagery and datasets, with periodic backups to cloud storage.</w:t>
      </w:r>
    </w:p>
    <w:p>
      <w:pPr>
        <w:numPr>
          <w:ilvl w:val="0"/>
          <w:numId w:val="1007"/>
        </w:numPr>
        <w:pStyle w:val="Compact"/>
      </w:pPr>
      <w:r>
        <w:rPr>
          <w:bCs/>
          <w:b/>
        </w:rPr>
        <w:t xml:space="preserve">Collaboration:</w:t>
      </w:r>
      <w:r>
        <w:t xml:space="preserve"> </w:t>
      </w:r>
      <w:r>
        <w:t xml:space="preserve">task board (Trello or Jira), shared documents, and a GitHub repository.</w:t>
      </w:r>
    </w:p>
    <w:bookmarkEnd w:id="45"/>
    <w:bookmarkStart w:id="46" w:name="data-and-budget"/>
    <w:p>
      <w:pPr>
        <w:pStyle w:val="Heading2"/>
      </w:pPr>
      <w:r>
        <w:t xml:space="preserve">9.3 Data and Budget</w:t>
      </w:r>
    </w:p>
    <w:p>
      <w:pPr>
        <w:pStyle w:val="FirstParagraph"/>
      </w:pPr>
      <w:r>
        <w:t xml:space="preserve">The primary data sources are open and free. Possible costs include paid API access for high-resolution historical weather, additional GPU compute, and travel for field validation. A detailed budget will be agreed with the mentor in Week 2.</w:t>
      </w:r>
    </w:p>
    <w:bookmarkEnd w:id="46"/>
    <w:bookmarkEnd w:id="47"/>
    <w:bookmarkStart w:id="48" w:name="assumptions-and-constraints"/>
    <w:p>
      <w:pPr>
        <w:pStyle w:val="Heading1"/>
      </w:pPr>
      <w:r>
        <w:t xml:space="preserve">10. Assumptions and Constraints</w:t>
      </w:r>
    </w:p>
    <w:p>
      <w:pPr>
        <w:pStyle w:val="FirstParagraph"/>
      </w:pPr>
      <w:r>
        <w:rPr>
          <w:bCs/>
          <w:b/>
        </w:rPr>
        <w:t xml:space="preserve">Constraints</w:t>
      </w:r>
    </w:p>
    <w:p>
      <w:pPr>
        <w:numPr>
          <w:ilvl w:val="0"/>
          <w:numId w:val="1008"/>
        </w:numPr>
        <w:pStyle w:val="Compact"/>
      </w:pPr>
      <w:r>
        <w:t xml:space="preserve">The project must be completed within the internship period, so features must be prioritised.</w:t>
      </w:r>
    </w:p>
    <w:p>
      <w:pPr>
        <w:numPr>
          <w:ilvl w:val="0"/>
          <w:numId w:val="1008"/>
        </w:numPr>
        <w:pStyle w:val="Compact"/>
      </w:pPr>
      <w:r>
        <w:t xml:space="preserve">GPU availability for image model training may be limited.</w:t>
      </w:r>
    </w:p>
    <w:p>
      <w:pPr>
        <w:numPr>
          <w:ilvl w:val="0"/>
          <w:numId w:val="1008"/>
        </w:numPr>
        <w:pStyle w:val="Compact"/>
      </w:pPr>
      <w:r>
        <w:t xml:space="preserve">Field data often contains temporal and spatial gaps.</w:t>
      </w:r>
    </w:p>
    <w:p>
      <w:pPr>
        <w:numPr>
          <w:ilvl w:val="0"/>
          <w:numId w:val="1008"/>
        </w:numPr>
        <w:pStyle w:val="Compact"/>
      </w:pPr>
      <w:r>
        <w:t xml:space="preserve">Some official datasets require formal requests or have usage conditions.</w:t>
      </w:r>
    </w:p>
    <w:p>
      <w:pPr>
        <w:pStyle w:val="FirstParagraph"/>
      </w:pPr>
      <w:r>
        <w:rPr>
          <w:bCs/>
          <w:b/>
        </w:rPr>
        <w:t xml:space="preserve">Assumptions</w:t>
      </w:r>
    </w:p>
    <w:p>
      <w:pPr>
        <w:numPr>
          <w:ilvl w:val="0"/>
          <w:numId w:val="1009"/>
        </w:numPr>
        <w:pStyle w:val="Compact"/>
      </w:pPr>
      <w:r>
        <w:t xml:space="preserve">At least 5 to 10 years of production statistics exist at district or regional level.</w:t>
      </w:r>
    </w:p>
    <w:p>
      <w:pPr>
        <w:numPr>
          <w:ilvl w:val="0"/>
          <w:numId w:val="1009"/>
        </w:numPr>
        <w:pStyle w:val="Compact"/>
      </w:pPr>
      <w:r>
        <w:t xml:space="preserve">End users are willing to provide feedback and take part in pilot testing.</w:t>
      </w:r>
    </w:p>
    <w:p>
      <w:pPr>
        <w:numPr>
          <w:ilvl w:val="0"/>
          <w:numId w:val="1009"/>
        </w:numPr>
        <w:pStyle w:val="Compact"/>
      </w:pPr>
      <w:r>
        <w:t xml:space="preserve">Sentinel-2 data remains openly available during the project period.</w:t>
      </w:r>
    </w:p>
    <w:bookmarkEnd w:id="48"/>
    <w:bookmarkStart w:id="49" w:name="risk-analysis-and-mitigation"/>
    <w:p>
      <w:pPr>
        <w:pStyle w:val="Heading1"/>
      </w:pPr>
      <w:r>
        <w:t xml:space="preserve">11. Risk Analysis and Mitigation</w:t>
      </w:r>
    </w:p>
    <w:p>
      <w:pPr>
        <w:pStyle w:val="FirstParagraph"/>
      </w:pPr>
      <w:r>
        <w:t xml:space="preserve">Risks are rated by likelihood and impact (low, medium, high).</w:t>
      </w:r>
    </w:p>
    <w:tbl>
      <w:tblPr>
        <w:tblStyle w:val="Table"/>
        <w:tblW w:type="pct" w:w="5000"/>
        <w:tblLook w:firstRow="1" w:lastRow="0" w:firstColumn="0" w:lastColumn="0" w:noHBand="0" w:noVBand="0" w:val="0020"/>
        <w:jc w:val="start"/>
      </w:tblPr>
      <w:tblGrid>
        <w:gridCol w:w="754"/>
        <w:gridCol w:w="1131"/>
        <w:gridCol w:w="2262"/>
        <w:gridCol w:w="1508"/>
        <w:gridCol w:w="2262"/>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R1</w:t>
            </w:r>
          </w:p>
        </w:tc>
        <w:tc>
          <w:tcPr/>
          <w:p>
            <w:pPr>
              <w:pStyle w:val="Compact"/>
              <w:jc w:val="left"/>
            </w:pPr>
            <w:r>
              <w:t xml:space="preserve">Incomplete or inconsistent yield records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Early data audit; document gaps; cross-check with a second official source</w:t>
            </w:r>
          </w:p>
        </w:tc>
      </w:tr>
      <w:tr>
        <w:tc>
          <w:tcPr/>
          <w:p>
            <w:pPr>
              <w:pStyle w:val="Compact"/>
              <w:jc w:val="left"/>
            </w:pPr>
            <w:r>
              <w:t xml:space="preserve">R2</w:t>
            </w:r>
          </w:p>
        </w:tc>
        <w:tc>
          <w:tcPr/>
          <w:p>
            <w:pPr>
              <w:pStyle w:val="Compact"/>
              <w:jc w:val="left"/>
            </w:pPr>
            <w:r>
              <w:t xml:space="preserve">Models do not generalise to other regions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Region-grouped validation; state the scope of model claims clearly</w:t>
            </w:r>
          </w:p>
        </w:tc>
      </w:tr>
      <w:tr>
        <w:tc>
          <w:tcPr/>
          <w:p>
            <w:pPr>
              <w:pStyle w:val="Compact"/>
              <w:jc w:val="left"/>
            </w:pPr>
            <w:r>
              <w:t xml:space="preserve">R3</w:t>
            </w:r>
          </w:p>
        </w:tc>
        <w:tc>
          <w:tcPr/>
          <w:p>
            <w:pPr>
              <w:pStyle w:val="Compact"/>
              <w:jc w:val="left"/>
            </w:pPr>
            <w:r>
              <w:t xml:space="preserve">Data leakage inflates performance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Time-based splits; mentor code review; leakage checklist</w:t>
            </w:r>
          </w:p>
        </w:tc>
      </w:tr>
      <w:tr>
        <w:tc>
          <w:tcPr/>
          <w:p>
            <w:pPr>
              <w:pStyle w:val="Compact"/>
              <w:jc w:val="left"/>
            </w:pPr>
            <w:r>
              <w:t xml:space="preserve">R4</w:t>
            </w:r>
          </w:p>
        </w:tc>
        <w:tc>
          <w:tcPr/>
          <w:p>
            <w:pPr>
              <w:pStyle w:val="Compact"/>
              <w:jc w:val="left"/>
            </w:pPr>
            <w:r>
              <w:t xml:space="preserve">Limited GPU capacity slows training</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Lightweight models; transfer learning; off-peak training schedule</w:t>
            </w:r>
          </w:p>
        </w:tc>
      </w:tr>
      <w:tr>
        <w:tc>
          <w:tcPr/>
          <w:p>
            <w:pPr>
              <w:pStyle w:val="Compact"/>
              <w:jc w:val="left"/>
            </w:pPr>
            <w:r>
              <w:t xml:space="preserve">R5</w:t>
            </w:r>
          </w:p>
        </w:tc>
        <w:tc>
          <w:tcPr/>
          <w:p>
            <w:pPr>
              <w:pStyle w:val="Compact"/>
              <w:jc w:val="left"/>
            </w:pPr>
            <w:r>
              <w:t xml:space="preserve">API or data access interruption</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Keep local copies; record versions and retrieval dates</w:t>
            </w:r>
          </w:p>
        </w:tc>
      </w:tr>
      <w:tr>
        <w:tc>
          <w:tcPr/>
          <w:p>
            <w:pPr>
              <w:pStyle w:val="Compact"/>
              <w:jc w:val="left"/>
            </w:pPr>
            <w:r>
              <w:t xml:space="preserve">R6</w:t>
            </w:r>
          </w:p>
        </w:tc>
        <w:tc>
          <w:tcPr/>
          <w:p>
            <w:pPr>
              <w:pStyle w:val="Compact"/>
              <w:jc w:val="left"/>
            </w:pPr>
            <w:r>
              <w:t xml:space="preserve">Disease dataset does not reflect field conditions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Add limited field images; augmentation; evaluate on real photos</w:t>
            </w:r>
          </w:p>
        </w:tc>
      </w:tr>
      <w:tr>
        <w:tc>
          <w:tcPr/>
          <w:p>
            <w:pPr>
              <w:pStyle w:val="Compact"/>
              <w:jc w:val="left"/>
            </w:pPr>
            <w:r>
              <w:t xml:space="preserve">R7</w:t>
            </w:r>
          </w:p>
        </w:tc>
        <w:tc>
          <w:tcPr/>
          <w:p>
            <w:pPr>
              <w:pStyle w:val="Compact"/>
              <w:jc w:val="left"/>
            </w:pPr>
            <w:r>
              <w:t xml:space="preserve">Low adoption by end users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Involve users early; present results in simple language and formats</w:t>
            </w:r>
          </w:p>
        </w:tc>
      </w:tr>
      <w:tr>
        <w:tc>
          <w:tcPr/>
          <w:p>
            <w:pPr>
              <w:pStyle w:val="Compact"/>
              <w:jc w:val="left"/>
            </w:pPr>
            <w:r>
              <w:t xml:space="preserve">R8</w:t>
            </w:r>
          </w:p>
        </w:tc>
        <w:tc>
          <w:tcPr/>
          <w:p>
            <w:pPr>
              <w:pStyle w:val="Compact"/>
              <w:jc w:val="left"/>
            </w:pPr>
            <w:r>
              <w:t xml:space="preserve">Scope creep</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Baseline scope agreed with mentor; formal change approval</w:t>
            </w:r>
          </w:p>
        </w:tc>
      </w:tr>
      <w:tr>
        <w:tc>
          <w:tcPr/>
          <w:p>
            <w:pPr>
              <w:pStyle w:val="Compact"/>
              <w:jc w:val="left"/>
            </w:pPr>
            <w:r>
              <w:t xml:space="preserve">R9</w:t>
            </w:r>
          </w:p>
        </w:tc>
        <w:tc>
          <w:tcPr/>
          <w:p>
            <w:pPr>
              <w:pStyle w:val="Compact"/>
              <w:jc w:val="left"/>
            </w:pPr>
            <w:r>
              <w:t xml:space="preserve">Privacy concerns regarding farmer data</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Anonymisation; written consent; encrypted storage</w:t>
            </w:r>
          </w:p>
        </w:tc>
      </w:tr>
      <w:tr>
        <w:tc>
          <w:tcPr/>
          <w:p>
            <w:pPr>
              <w:pStyle w:val="Compact"/>
              <w:jc w:val="left"/>
            </w:pPr>
            <w:r>
              <w:t xml:space="preserve">R10</w:t>
            </w:r>
          </w:p>
        </w:tc>
        <w:tc>
          <w:tcPr/>
          <w:p>
            <w:pPr>
              <w:pStyle w:val="Compact"/>
              <w:jc w:val="left"/>
            </w:pPr>
            <w:r>
              <w:t xml:space="preserve">Schedule delays from competing commitments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10% time buffer per milestone; prioritise by impact</w:t>
            </w:r>
          </w:p>
        </w:tc>
      </w:tr>
    </w:tbl>
    <w:bookmarkEnd w:id="49"/>
    <w:bookmarkStart w:id="52" w:name="expected-outcomes"/>
    <w:p>
      <w:pPr>
        <w:pStyle w:val="Heading1"/>
      </w:pPr>
      <w:r>
        <w:t xml:space="preserve">12. Expected Outcomes</w:t>
      </w:r>
    </w:p>
    <w:bookmarkStart w:id="50" w:name="deliverables"/>
    <w:p>
      <w:pPr>
        <w:pStyle w:val="Heading2"/>
      </w:pPr>
      <w:r>
        <w:t xml:space="preserve">12.1 Deliverables</w:t>
      </w:r>
    </w:p>
    <w:p>
      <w:pPr>
        <w:numPr>
          <w:ilvl w:val="0"/>
          <w:numId w:val="1010"/>
        </w:numPr>
        <w:pStyle w:val="Compact"/>
      </w:pPr>
      <w:r>
        <w:t xml:space="preserve">This strategy document (Week 1).</w:t>
      </w:r>
    </w:p>
    <w:p>
      <w:pPr>
        <w:numPr>
          <w:ilvl w:val="0"/>
          <w:numId w:val="1010"/>
        </w:numPr>
        <w:pStyle w:val="Compact"/>
      </w:pPr>
      <w:r>
        <w:t xml:space="preserve">A catalogued and integrated dataset with documented schema.</w:t>
      </w:r>
    </w:p>
    <w:p>
      <w:pPr>
        <w:numPr>
          <w:ilvl w:val="0"/>
          <w:numId w:val="1010"/>
        </w:numPr>
        <w:pStyle w:val="Compact"/>
      </w:pPr>
      <w:r>
        <w:t xml:space="preserve">Three predictive models (yield, disease classification, price forecast) with evaluation reports.</w:t>
      </w:r>
    </w:p>
    <w:p>
      <w:pPr>
        <w:numPr>
          <w:ilvl w:val="0"/>
          <w:numId w:val="1010"/>
        </w:numPr>
        <w:pStyle w:val="Compact"/>
      </w:pPr>
      <w:r>
        <w:t xml:space="preserve">Reproducible source code in the GitHub repository.</w:t>
      </w:r>
    </w:p>
    <w:p>
      <w:pPr>
        <w:numPr>
          <w:ilvl w:val="0"/>
          <w:numId w:val="1010"/>
        </w:numPr>
        <w:pStyle w:val="Compact"/>
      </w:pPr>
      <w:r>
        <w:t xml:space="preserve">A dashboard or summary report for stakeholders.</w:t>
      </w:r>
    </w:p>
    <w:bookmarkEnd w:id="50"/>
    <w:bookmarkStart w:id="51" w:name="expected-impact"/>
    <w:p>
      <w:pPr>
        <w:pStyle w:val="Heading2"/>
      </w:pPr>
      <w:r>
        <w:t xml:space="preserve">12.2 Expected Impact</w:t>
      </w:r>
    </w:p>
    <w:p>
      <w:pPr>
        <w:pStyle w:val="FirstParagraph"/>
      </w:pPr>
      <w:r>
        <w:t xml:space="preserve">If successful, the project will support more data-driven decisions in agribusiness, faster disease detection, better harvest and sales planning, and a reusable framework for other commodities and regions. It also provides a worked example of structured data science planning.</w:t>
      </w:r>
    </w:p>
    <w:bookmarkEnd w:id="51"/>
    <w:bookmarkEnd w:id="52"/>
    <w:bookmarkStart w:id="53" w:name="conclusion"/>
    <w:p>
      <w:pPr>
        <w:pStyle w:val="Heading1"/>
      </w:pPr>
      <w:r>
        <w:t xml:space="preserve">13. Conclusion</w:t>
      </w:r>
    </w:p>
    <w:p>
      <w:pPr>
        <w:pStyle w:val="FirstParagraph"/>
      </w:pPr>
      <w:r>
        <w:t xml:space="preserve">Week 1 establishes a sound foundation for the project. The problem statement is clear, the objectives are measurable, the KPIs cover technical, process, and impact dimensions, the methodology follows established industry practice, and the risks have documented mitigation plans. The next step is to identify and validate data sources in Week 2.</w:t>
      </w:r>
    </w:p>
    <w:bookmarkEnd w:id="53"/>
    <w:bookmarkStart w:id="54" w:name="references"/>
    <w:p>
      <w:pPr>
        <w:pStyle w:val="Heading1"/>
      </w:pPr>
      <w:r>
        <w:t xml:space="preserve">References</w:t>
      </w:r>
    </w:p>
    <w:p>
      <w:pPr>
        <w:pStyle w:val="FirstParagraph"/>
      </w:pPr>
      <w:r>
        <w:t xml:space="preserve">Chlingaryan, A., Sukkarieh, S., &amp; Whelan, B. (2018). Machine learning approaches for crop yield prediction and nitrogen status estimation in precision agriculture: A review.</w:t>
      </w:r>
      <w:r>
        <w:t xml:space="preserve"> </w:t>
      </w:r>
      <w:r>
        <w:rPr>
          <w:iCs/>
          <w:i/>
        </w:rPr>
        <w:t xml:space="preserve">Computers and Electronics in Agriculture, 151</w:t>
      </w:r>
      <w:r>
        <w:t xml:space="preserve">, 61–69.</w:t>
      </w:r>
    </w:p>
    <w:p>
      <w:pPr>
        <w:pStyle w:val="BodyText"/>
      </w:pPr>
      <w:r>
        <w:t xml:space="preserve">Copernicus Programme, European Space Agency.</w:t>
      </w:r>
      <w:r>
        <w:t xml:space="preserve"> </w:t>
      </w:r>
      <w:r>
        <w:rPr>
          <w:iCs/>
          <w:i/>
        </w:rPr>
        <w:t xml:space="preserve">Sentinel-2 mission documentation</w:t>
      </w:r>
      <w:r>
        <w:t xml:space="preserve">. https://sentinels.copernicus.org</w:t>
      </w:r>
    </w:p>
    <w:p>
      <w:pPr>
        <w:pStyle w:val="BodyText"/>
      </w:pPr>
      <w:r>
        <w:t xml:space="preserve">Food and Agriculture Organization of the United Nations (FAO). (2017).</w:t>
      </w:r>
      <w:r>
        <w:t xml:space="preserve"> </w:t>
      </w:r>
      <w:r>
        <w:rPr>
          <w:iCs/>
          <w:i/>
        </w:rPr>
        <w:t xml:space="preserve">The future of food and agriculture: Trends and challenges</w:t>
      </w:r>
      <w:r>
        <w:t xml:space="preserve">. Rome: FAO.</w:t>
      </w:r>
    </w:p>
    <w:p>
      <w:pPr>
        <w:pStyle w:val="BodyText"/>
      </w:pPr>
      <w:r>
        <w:t xml:space="preserve">Hughes, D. P., &amp; Salathé, M. (2015). An open access repository of images on plant health to enable the development of mobile disease diagnostics.</w:t>
      </w:r>
      <w:r>
        <w:t xml:space="preserve"> </w:t>
      </w:r>
      <w:r>
        <w:rPr>
          <w:iCs/>
          <w:i/>
        </w:rPr>
        <w:t xml:space="preserve">arXiv preprint arXiv:1511.08060</w:t>
      </w:r>
      <w:r>
        <w:t xml:space="preserve">.</w:t>
      </w:r>
    </w:p>
    <w:p>
      <w:pPr>
        <w:pStyle w:val="BodyText"/>
      </w:pPr>
      <w:r>
        <w:t xml:space="preserve">Liakos, K. G., Busato, P., Moshou, D., Pearson, S., &amp; Bochtis, D. (2018). Machine learning in agriculture: A review.</w:t>
      </w:r>
      <w:r>
        <w:t xml:space="preserve"> </w:t>
      </w:r>
      <w:r>
        <w:rPr>
          <w:iCs/>
          <w:i/>
        </w:rPr>
        <w:t xml:space="preserve">Sensors, 18</w:t>
      </w:r>
      <w:r>
        <w:t xml:space="preserve">(8), 2674.</w:t>
      </w:r>
    </w:p>
    <w:p>
      <w:pPr>
        <w:pStyle w:val="BodyText"/>
      </w:pPr>
      <w:r>
        <w:t xml:space="preserve">Mitchell, M., Wu, S., Zaldivar, A., Barnes, P., Vasserman, L., Hutchinson, B., Spitzer, E., Raji, I. D., &amp; Gebru, T. (2019). Model cards for model reporting.</w:t>
      </w:r>
      <w:r>
        <w:t xml:space="preserve"> </w:t>
      </w:r>
      <w:r>
        <w:rPr>
          <w:iCs/>
          <w:i/>
        </w:rPr>
        <w:t xml:space="preserve">Proceedings of the Conference on Fairness, Accountability, and Transparency (FAT*)</w:t>
      </w:r>
      <w:r>
        <w:t xml:space="preserve">, 220–229.</w:t>
      </w:r>
    </w:p>
    <w:p>
      <w:pPr>
        <w:pStyle w:val="BodyText"/>
      </w:pPr>
      <w:r>
        <w:t xml:space="preserve">NASA Prediction Of Worldwide Energy Resources (POWER) Project. https://power.larc.nasa.gov</w:t>
      </w:r>
    </w:p>
    <w:p>
      <w:pPr>
        <w:pStyle w:val="BodyText"/>
      </w:pPr>
      <w:r>
        <w:t xml:space="preserve">Shearer, C. (2000). The CRISP-DM model: The new blueprint for data mining.</w:t>
      </w:r>
      <w:r>
        <w:t xml:space="preserve"> </w:t>
      </w:r>
      <w:r>
        <w:rPr>
          <w:iCs/>
          <w:i/>
        </w:rPr>
        <w:t xml:space="preserve">Journal of Data Warehousing, 5</w:t>
      </w:r>
      <w:r>
        <w:t xml:space="preserve">(4), 13–22.</w:t>
      </w:r>
    </w:p>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 Strategic Design and Planning</dc:title>
  <dc:creator/>
  <cp:keywords/>
  <dcterms:created xsi:type="dcterms:W3CDTF">2026-10-20T21:08:04Z</dcterms:created>
  <dcterms:modified xsi:type="dcterms:W3CDTF">2026-10-20T21:08:04Z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Machine Learning Data Analysis Project for Agriculture and Agribusiness</vt:lpwstr>
  </property>
</Properties>
</file>