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09A" w:rsidRDefault="0044109A" w:rsidP="0044109A">
      <w:proofErr w:type="spellStart"/>
      <w:r>
        <w:t>Pega</w:t>
      </w:r>
      <w:proofErr w:type="spellEnd"/>
      <w:r>
        <w:t xml:space="preserve"> Technical Account Plan</w:t>
      </w:r>
    </w:p>
    <w:p w:rsidR="0044109A" w:rsidRDefault="0044109A" w:rsidP="0044109A"/>
    <w:p w:rsidR="0044109A" w:rsidRPr="0044109A" w:rsidRDefault="0044109A" w:rsidP="0044109A">
      <w:proofErr w:type="spellStart"/>
      <w:r>
        <w:t>Pega’s</w:t>
      </w:r>
      <w:proofErr w:type="spellEnd"/>
      <w:r>
        <w:t xml:space="preserve"> main technical priorities for 2024 are: </w:t>
      </w:r>
    </w:p>
    <w:p w:rsidR="0044109A" w:rsidRPr="0044109A" w:rsidRDefault="0044109A" w:rsidP="0044109A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 w:rsidRPr="0044109A">
        <w:t>Pega</w:t>
      </w:r>
      <w:proofErr w:type="spellEnd"/>
      <w:r w:rsidRPr="0044109A">
        <w:t xml:space="preserve"> Infinity Cuttyhunk (“Cloud 2”) to </w:t>
      </w:r>
      <w:proofErr w:type="spellStart"/>
      <w:r w:rsidRPr="0044109A">
        <w:t>CloudK</w:t>
      </w:r>
      <w:proofErr w:type="spellEnd"/>
      <w:r w:rsidRPr="0044109A">
        <w:t xml:space="preserve"> (“Cloud 3”) migration</w:t>
      </w:r>
    </w:p>
    <w:p w:rsidR="0044109A" w:rsidRPr="0044109A" w:rsidRDefault="0044109A" w:rsidP="0044109A">
      <w:pPr>
        <w:numPr>
          <w:ilvl w:val="1"/>
          <w:numId w:val="1"/>
        </w:numPr>
      </w:pPr>
      <w:proofErr w:type="spellStart"/>
      <w:r w:rsidRPr="0044109A">
        <w:t>ElasticSearch</w:t>
      </w:r>
      <w:proofErr w:type="spellEnd"/>
      <w:r w:rsidRPr="0044109A">
        <w:t xml:space="preserve"> optimization and migration to </w:t>
      </w:r>
      <w:proofErr w:type="spellStart"/>
      <w:r w:rsidRPr="0044109A">
        <w:t>OpenSearchrisk</w:t>
      </w:r>
      <w:proofErr w:type="spellEnd"/>
      <w:r>
        <w:t xml:space="preserve">. For the uniformity between AWS, GCP and on-premises </w:t>
      </w:r>
      <w:proofErr w:type="spellStart"/>
      <w:r>
        <w:t>Pega’s</w:t>
      </w:r>
      <w:proofErr w:type="spellEnd"/>
      <w:r>
        <w:t xml:space="preserve"> CTO is planning </w:t>
      </w:r>
      <w:r w:rsidRPr="0044109A">
        <w:t xml:space="preserve">migration to </w:t>
      </w:r>
      <w:proofErr w:type="spellStart"/>
      <w:r w:rsidRPr="0044109A">
        <w:t>Instaclutr</w:t>
      </w:r>
      <w:proofErr w:type="spellEnd"/>
      <w:r>
        <w:t xml:space="preserve">. AWS team is looking for a </w:t>
      </w:r>
      <w:proofErr w:type="gramStart"/>
      <w:r>
        <w:t>possibilities</w:t>
      </w:r>
      <w:proofErr w:type="gramEnd"/>
      <w:r>
        <w:t xml:space="preserve"> for offering AWS managed services for OpenSearch for hybrid environments which is critical requirements for </w:t>
      </w:r>
      <w:proofErr w:type="spellStart"/>
      <w:r>
        <w:t>Pega</w:t>
      </w:r>
      <w:proofErr w:type="spellEnd"/>
      <w:r>
        <w:t xml:space="preserve">.  </w:t>
      </w:r>
    </w:p>
    <w:p w:rsidR="0044109A" w:rsidRPr="0044109A" w:rsidRDefault="0044109A" w:rsidP="0044109A">
      <w:pPr>
        <w:numPr>
          <w:ilvl w:val="1"/>
          <w:numId w:val="1"/>
        </w:numPr>
      </w:pPr>
      <w:r w:rsidRPr="0044109A">
        <w:t>Move to Graviton</w:t>
      </w:r>
      <w:r>
        <w:t xml:space="preserve"> for all AWS services</w:t>
      </w:r>
    </w:p>
    <w:p w:rsidR="0044109A" w:rsidRPr="0044109A" w:rsidRDefault="0044109A" w:rsidP="0044109A">
      <w:pPr>
        <w:numPr>
          <w:ilvl w:val="1"/>
          <w:numId w:val="1"/>
        </w:numPr>
      </w:pPr>
      <w:r>
        <w:t xml:space="preserve">Migration from </w:t>
      </w:r>
      <w:r w:rsidRPr="0044109A">
        <w:t xml:space="preserve">Docker </w:t>
      </w:r>
      <w:r>
        <w:t xml:space="preserve">containers environment running </w:t>
      </w:r>
      <w:r w:rsidRPr="0044109A">
        <w:t xml:space="preserve">on EC2 to </w:t>
      </w:r>
      <w:r>
        <w:t xml:space="preserve">Amazon </w:t>
      </w:r>
      <w:r w:rsidRPr="0044109A">
        <w:t>EKS</w:t>
      </w:r>
    </w:p>
    <w:p w:rsidR="0044109A" w:rsidRPr="0044109A" w:rsidRDefault="0044109A" w:rsidP="0044109A">
      <w:pPr>
        <w:numPr>
          <w:ilvl w:val="1"/>
          <w:numId w:val="1"/>
        </w:numPr>
      </w:pPr>
      <w:r>
        <w:t xml:space="preserve">Migration from </w:t>
      </w:r>
      <w:r w:rsidRPr="0044109A">
        <w:t>RDS to Aurora Postgres</w:t>
      </w:r>
      <w:r>
        <w:t xml:space="preserve">. There is a potential threat of migrating RDS to </w:t>
      </w:r>
      <w:proofErr w:type="spellStart"/>
      <w:r>
        <w:t>Instaclustr</w:t>
      </w:r>
      <w:proofErr w:type="spellEnd"/>
      <w:r>
        <w:t xml:space="preserve"> for the same platform uniformity reasons. </w:t>
      </w:r>
    </w:p>
    <w:p w:rsidR="0044109A" w:rsidRPr="0044109A" w:rsidRDefault="0044109A" w:rsidP="0044109A">
      <w:pPr>
        <w:numPr>
          <w:ilvl w:val="0"/>
          <w:numId w:val="1"/>
        </w:numPr>
      </w:pPr>
      <w:r w:rsidRPr="0044109A">
        <w:t xml:space="preserve">Disaster recovery </w:t>
      </w:r>
    </w:p>
    <w:p w:rsidR="0044109A" w:rsidRPr="0044109A" w:rsidRDefault="0044109A" w:rsidP="0044109A">
      <w:pPr>
        <w:numPr>
          <w:ilvl w:val="1"/>
          <w:numId w:val="1"/>
        </w:numPr>
      </w:pPr>
      <w:r w:rsidRPr="0044109A">
        <w:t xml:space="preserve">Implementing active-standby DR with manual fail-over as an upsell for </w:t>
      </w:r>
      <w:proofErr w:type="spellStart"/>
      <w:r w:rsidRPr="0044109A">
        <w:t>Pega</w:t>
      </w:r>
      <w:proofErr w:type="spellEnd"/>
      <w:r w:rsidRPr="0044109A">
        <w:t xml:space="preserve"> customers</w:t>
      </w:r>
      <w:r>
        <w:t xml:space="preserve">. </w:t>
      </w:r>
      <w:proofErr w:type="spellStart"/>
      <w:r>
        <w:t>Pega</w:t>
      </w:r>
      <w:proofErr w:type="spellEnd"/>
      <w:r>
        <w:t xml:space="preserve"> team completed the POC and working on the implementation.</w:t>
      </w:r>
    </w:p>
    <w:p w:rsidR="0044109A" w:rsidRPr="0044109A" w:rsidRDefault="0044109A" w:rsidP="0044109A">
      <w:pPr>
        <w:numPr>
          <w:ilvl w:val="0"/>
          <w:numId w:val="1"/>
        </w:numPr>
      </w:pPr>
      <w:r w:rsidRPr="0044109A">
        <w:t>Generative AI</w:t>
      </w:r>
    </w:p>
    <w:p w:rsidR="0044109A" w:rsidRDefault="0044109A" w:rsidP="0044109A">
      <w:pPr>
        <w:numPr>
          <w:ilvl w:val="1"/>
          <w:numId w:val="1"/>
        </w:numPr>
      </w:pPr>
      <w:r w:rsidRPr="0044109A">
        <w:t xml:space="preserve">Currently all work is done on Open AI. </w:t>
      </w:r>
      <w:r>
        <w:t>While AWS team is w</w:t>
      </w:r>
      <w:r w:rsidRPr="0044109A">
        <w:t>orking on the “easy access” for non-AWS users to unlock experimentation on Bedrock</w:t>
      </w:r>
      <w:r>
        <w:t xml:space="preserve"> and working closely with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GenAI</w:t>
      </w:r>
      <w:proofErr w:type="spellEnd"/>
      <w:r>
        <w:t xml:space="preserve"> team, there is no major progress in this area yet. AWS team is looking on the options to connect with business / product owners to promote Amazon Bedrock. </w:t>
      </w:r>
    </w:p>
    <w:p w:rsidR="0044109A" w:rsidRDefault="0044109A" w:rsidP="0044109A">
      <w:pPr>
        <w:pStyle w:val="ListParagraph"/>
        <w:numPr>
          <w:ilvl w:val="0"/>
          <w:numId w:val="1"/>
        </w:numPr>
      </w:pPr>
      <w:r>
        <w:t>Migrating on-remises customers to AWS</w:t>
      </w:r>
    </w:p>
    <w:p w:rsidR="0044109A" w:rsidRPr="0044109A" w:rsidRDefault="0044109A" w:rsidP="0044109A">
      <w:pPr>
        <w:pStyle w:val="ListParagraph"/>
        <w:ind w:left="1440"/>
      </w:pPr>
    </w:p>
    <w:p w:rsidR="00A64CDE" w:rsidRDefault="00A64CDE"/>
    <w:p w:rsidR="0044109A" w:rsidRDefault="0044109A" w:rsidP="0044109A">
      <w:r>
        <w:t>In addition to the strategic goals above, AWS team engaged in the following technical activities:</w:t>
      </w:r>
    </w:p>
    <w:p w:rsidR="0044109A" w:rsidRPr="0044109A" w:rsidRDefault="0044109A" w:rsidP="0044109A">
      <w:r>
        <w:t xml:space="preserve"> </w:t>
      </w:r>
    </w:p>
    <w:p w:rsidR="0044109A" w:rsidRDefault="0044109A" w:rsidP="00D13D4C">
      <w:pPr>
        <w:pStyle w:val="ListParagraph"/>
        <w:numPr>
          <w:ilvl w:val="0"/>
          <w:numId w:val="1"/>
        </w:numPr>
      </w:pPr>
      <w:r w:rsidRPr="0044109A">
        <w:t xml:space="preserve">Work with corporate IT and AWS accounts management on the AWS Orgs </w:t>
      </w:r>
      <w:r w:rsidRPr="0044109A">
        <w:t>structure.</w:t>
      </w:r>
    </w:p>
    <w:p w:rsidR="0044109A" w:rsidRDefault="0044109A" w:rsidP="0044109A">
      <w:pPr>
        <w:pStyle w:val="ListParagraph"/>
        <w:numPr>
          <w:ilvl w:val="1"/>
          <w:numId w:val="1"/>
        </w:numPr>
      </w:pPr>
      <w:r>
        <w:t xml:space="preserve">After about 90 AWS accounts moved from the AWS Core team at </w:t>
      </w:r>
      <w:proofErr w:type="spellStart"/>
      <w:r>
        <w:t>Pega</w:t>
      </w:r>
      <w:proofErr w:type="spellEnd"/>
      <w:r>
        <w:t xml:space="preserve"> to the IT management, IT team is struggling with managing these accounts due to they belong to the same AWS Org. Planning to work cross-team suggesting to split AWS orgs. </w:t>
      </w:r>
    </w:p>
    <w:p w:rsidR="0044109A" w:rsidRDefault="0044109A" w:rsidP="0044109A">
      <w:pPr>
        <w:pStyle w:val="ListParagraph"/>
        <w:numPr>
          <w:ilvl w:val="0"/>
          <w:numId w:val="1"/>
        </w:numPr>
      </w:pPr>
      <w:r w:rsidRPr="0044109A">
        <w:t xml:space="preserve">Follow up on OpenSearch-based visibility tooling from </w:t>
      </w:r>
      <w:proofErr w:type="spellStart"/>
      <w:proofErr w:type="gramStart"/>
      <w:r w:rsidRPr="0044109A">
        <w:t>re:invent</w:t>
      </w:r>
      <w:proofErr w:type="spellEnd"/>
      <w:proofErr w:type="gramEnd"/>
      <w:r>
        <w:t xml:space="preserve"> 2023 meetings</w:t>
      </w:r>
    </w:p>
    <w:p w:rsidR="0044109A" w:rsidRPr="0044109A" w:rsidRDefault="0044109A" w:rsidP="0044109A">
      <w:pPr>
        <w:pStyle w:val="ListParagraph"/>
        <w:numPr>
          <w:ilvl w:val="0"/>
          <w:numId w:val="1"/>
        </w:numPr>
      </w:pPr>
      <w:r w:rsidRPr="0044109A">
        <w:t>Engage with security team on tooling and incident response practices</w:t>
      </w:r>
    </w:p>
    <w:p w:rsidR="0044109A" w:rsidRDefault="0044109A"/>
    <w:sectPr w:rsidR="0044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BC3"/>
    <w:multiLevelType w:val="hybridMultilevel"/>
    <w:tmpl w:val="448E5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B035D"/>
    <w:multiLevelType w:val="hybridMultilevel"/>
    <w:tmpl w:val="A5541F0A"/>
    <w:lvl w:ilvl="0" w:tplc="53F09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77BABC7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6ED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08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F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C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4D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B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0284059">
    <w:abstractNumId w:val="1"/>
  </w:num>
  <w:num w:numId="2" w16cid:durableId="29290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A"/>
    <w:rsid w:val="0044109A"/>
    <w:rsid w:val="00A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7BA"/>
  <w15:chartTrackingRefBased/>
  <w15:docId w15:val="{C1EE9837-C783-4648-A4CF-75203243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02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61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454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976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757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93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774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13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772">
          <w:marLeft w:val="118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2024-03-24T22:29:00Z</dcterms:created>
  <dcterms:modified xsi:type="dcterms:W3CDTF">2024-03-24T22:51:00Z</dcterms:modified>
</cp:coreProperties>
</file>