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rabajo-práctico-n3"/>
    <w:p>
      <w:pPr>
        <w:pStyle w:val="Heading1"/>
      </w:pPr>
      <w:r>
        <w:t xml:space="preserve">Trabajo Práctico N°3</w:t>
      </w:r>
    </w:p>
    <w:p>
      <w:pPr>
        <w:pStyle w:val="FirstParagraph"/>
      </w:pPr>
      <w:r>
        <w:rPr>
          <w:b/>
          <w:bCs/>
        </w:rPr>
        <w:t xml:space="preserve">Modelos Supervisados y No Supervisados – Black Friday</w:t>
      </w:r>
    </w:p>
    <w:bookmarkStart w:id="16" w:name="input"/>
    <w:p>
      <w:pPr>
        <w:pStyle w:val="Heading2"/>
      </w:pPr>
      <w:r>
        <w:t xml:space="preserve">Input</w:t>
      </w:r>
    </w:p>
    <w:p>
      <w:pPr>
        <w:pStyle w:val="Compact"/>
        <w:numPr>
          <w:ilvl w:val="0"/>
          <w:numId w:val="1001"/>
        </w:numPr>
      </w:pPr>
      <w:r>
        <w:t xml:space="preserve">Dataset Black Friday</w:t>
      </w:r>
      <w:r>
        <w:t xml:space="preserve"> </w:t>
      </w:r>
      <w:r>
        <w:t xml:space="preserve">“limpio”</w:t>
      </w:r>
      <w:r>
        <w:t xml:space="preserve"> </w:t>
      </w:r>
      <w:r>
        <w:t xml:space="preserve">(generado en el último paso del TP N°2).</w:t>
      </w:r>
    </w:p>
    <w:bookmarkEnd w:id="16"/>
    <w:bookmarkStart w:id="21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02"/>
        </w:numPr>
      </w:pPr>
      <w:r>
        <w:t xml:space="preserve">Se puede ir desarrollando cada punto en la misma notebook donde se escriba el código.</w:t>
      </w:r>
    </w:p>
    <w:p>
      <w:pPr>
        <w:pStyle w:val="Compact"/>
        <w:numPr>
          <w:ilvl w:val="0"/>
          <w:numId w:val="1002"/>
        </w:numPr>
      </w:pPr>
      <w:r>
        <w:t xml:space="preserve">Se debe subir el entregable a un repositorio GitHub o enviar el link a un Google Colab.</w:t>
      </w:r>
    </w:p>
    <w:p>
      <w:pPr>
        <w:pStyle w:val="Compact"/>
        <w:numPr>
          <w:ilvl w:val="0"/>
          <w:numId w:val="1002"/>
        </w:numPr>
      </w:pPr>
      <w:r>
        <w:t xml:space="preserve">Tener en cuenta que si bien pueden realizar diversos análisis y pruebas, se debe dejar en el entregable sólo aquello que sea relevante.</w:t>
      </w:r>
    </w:p>
    <w:p>
      <w:pPr>
        <w:pStyle w:val="Compact"/>
        <w:numPr>
          <w:ilvl w:val="0"/>
          <w:numId w:val="1002"/>
        </w:numPr>
      </w:pPr>
      <w:r>
        <w:t xml:space="preserve">Luego de cada modelo o análisis, es importante poder obtener una conclusión de los resultados obtenidos.</w:t>
      </w:r>
    </w:p>
    <w:p>
      <w:r>
        <w:pict>
          <v:rect style="width:0;height:1.5pt" o:hralign="center" o:hrstd="t" o:hr="t"/>
        </w:pict>
      </w:r>
    </w:p>
    <w:bookmarkStart w:id="17" w:name="X03494fa12df140955613c55e311b88a6aff515d"/>
    <w:p>
      <w:pPr>
        <w:pStyle w:val="Heading3"/>
      </w:pPr>
      <w:r>
        <w:t xml:space="preserve">1. Preparación de los datos para el modelado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Separar el conjunto de datos:</w:t>
      </w:r>
      <w:r>
        <w:t xml:space="preserve"> </w:t>
      </w:r>
      <w:r>
        <w:t xml:space="preserve">- Definir la variable objetivo / target (</w:t>
      </w:r>
      <w:r>
        <w:rPr>
          <w:rStyle w:val="VerbatimChar"/>
        </w:rPr>
        <w:t xml:space="preserve">Purchase</w:t>
      </w:r>
      <w:r>
        <w:t xml:space="preserve">).</w:t>
      </w:r>
      <w:r>
        <w:t xml:space="preserve"> </w:t>
      </w:r>
      <w:r>
        <w:t xml:space="preserve">- Definir las variables predictoras / features (el resto de las columnas útiles).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División en Entrenamiento y Prueba (Train / Test Split):</w:t>
      </w:r>
      <w:r>
        <w:t xml:space="preserve"> </w:t>
      </w:r>
      <w:r>
        <w:t xml:space="preserve">- Separar los datos utilizando una proporción adecuada (por ejemplo, 80% train / 20% test).</w:t>
      </w:r>
      <w:r>
        <w:t xml:space="preserve"> </w:t>
      </w:r>
      <w:r>
        <w:t xml:space="preserve">- ¿Por qué es importante realizar esta división antes de entrenar los modelos?</w:t>
      </w:r>
    </w:p>
    <w:bookmarkEnd w:id="17"/>
    <w:bookmarkStart w:id="18" w:name="modelos-supervisados-regresión"/>
    <w:p>
      <w:pPr>
        <w:pStyle w:val="Heading3"/>
      </w:pPr>
      <w:r>
        <w:t xml:space="preserve">2. Modelos Supervisados (Regresión)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Definición de un Baseline (Modelo Base):</w:t>
      </w:r>
      <w:r>
        <w:t xml:space="preserve"> </w:t>
      </w:r>
      <w:r>
        <w:t xml:space="preserve">- Plantear un modelo base simple. Por ejemplo, predecir el monto de compra utilizando siempre la media o mediana del target en el conjunto de entrenamiento.</w:t>
      </w:r>
      <w:r>
        <w:t xml:space="preserve"> </w:t>
      </w:r>
      <w:r>
        <w:t xml:space="preserve">- Analizar y justificar claramente cuál es la métrica más adecuada a optimizar para este problema.</w:t>
      </w:r>
      <w:r>
        <w:t xml:space="preserve"> </w:t>
      </w:r>
      <w:r>
        <w:t xml:space="preserve">- Calcular la métrica elegida para el baseline. Esto servirá para comparar los modelos más complejos.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Entrenamiento de modelos de regresión:</w:t>
      </w:r>
      <w:r>
        <w:t xml:space="preserve"> </w:t>
      </w:r>
      <w:r>
        <w:t xml:space="preserve">- Entrenar al menos dos modelos diferentes. Ejemplos sugeridos:</w:t>
      </w:r>
      <w:r>
        <w:t xml:space="preserve"> </w:t>
      </w:r>
      <w:r>
        <w:t xml:space="preserve">- Regresión Lineal (Linear Regression / Ridge / Lasso)</w:t>
      </w:r>
      <w:r>
        <w:t xml:space="preserve"> </w:t>
      </w:r>
      <w:r>
        <w:t xml:space="preserve">- Árboles de Decisión (Decision Tree Regressor)</w:t>
      </w:r>
      <w:r>
        <w:t xml:space="preserve"> </w:t>
      </w:r>
      <w:r>
        <w:t xml:space="preserve">- Random Forest Regressor</w:t>
      </w:r>
      <w:r>
        <w:t xml:space="preserve"> </w:t>
      </w:r>
      <w:r>
        <w:t xml:space="preserve">- Modelos de Boosting (LightGBM o XGBoost)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Evaluación y comparación de modelos:</w:t>
      </w:r>
      <w:r>
        <w:t xml:space="preserve"> </w:t>
      </w:r>
      <w:r>
        <w:t xml:space="preserve">- Predecir sobre el conjunto de test.</w:t>
      </w:r>
      <w:r>
        <w:t xml:space="preserve"> </w:t>
      </w:r>
      <w:r>
        <w:t xml:space="preserve">- Evaluar los modelos entrenados utilizando la métrica seleccionada y justificada previamente. Adicionalmente, reportar otras métricas de regresión relevantes.</w:t>
      </w:r>
      <w:r>
        <w:t xml:space="preserve"> </w:t>
      </w:r>
      <w:r>
        <w:t xml:space="preserve">- Comparar los resultados frente al modelo Baseline. ¿Qué modelo tuvo el mejor desempeño?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Optimización de Hiperparámetros:</w:t>
      </w:r>
      <w:r>
        <w:t xml:space="preserve"> </w:t>
      </w:r>
      <w:r>
        <w:t xml:space="preserve">- Tomar el mejor modelo obtenido en el punto anterior.</w:t>
      </w:r>
      <w:r>
        <w:t xml:space="preserve"> </w:t>
      </w:r>
      <w:r>
        <w:t xml:space="preserve">- Utilizar técnicas como Grid Search CV o Random Search CV para encontrar los mejores hiperparámetros.</w:t>
      </w:r>
      <w:r>
        <w:t xml:space="preserve"> </w:t>
      </w:r>
      <w:r>
        <w:t xml:space="preserve">- ¿Mejoró significativamente el resultado luego de la optimización?</w:t>
      </w:r>
    </w:p>
    <w:p>
      <w:pPr>
        <w:pStyle w:val="BodyText"/>
      </w:pPr>
      <w:r>
        <w:rPr>
          <w:b/>
          <w:bCs/>
        </w:rPr>
        <w:t xml:space="preserve">e.</w:t>
      </w:r>
      <w:r>
        <w:t xml:space="preserve"> </w:t>
      </w:r>
      <w:r>
        <w:t xml:space="preserve">Interpretación de Resultados (Feature Importance):</w:t>
      </w:r>
      <w:r>
        <w:t xml:space="preserve"> </w:t>
      </w:r>
      <w:r>
        <w:t xml:space="preserve">- Para el mejor modelo entrenado, graficar la importancia de las variables (Feature Importance).</w:t>
      </w:r>
      <w:r>
        <w:t xml:space="preserve"> </w:t>
      </w:r>
      <w:r>
        <w:t xml:space="preserve">- ¿Cuáles son las variables que más influyen en el monto de compra (</w:t>
      </w:r>
      <w:r>
        <w:rPr>
          <w:rStyle w:val="VerbatimChar"/>
        </w:rPr>
        <w:t xml:space="preserve">Purchase</w:t>
      </w:r>
      <w:r>
        <w:t xml:space="preserve">)? ¿Tienen sentido desde el punto de vista del negocio?</w:t>
      </w:r>
    </w:p>
    <w:bookmarkEnd w:id="18"/>
    <w:bookmarkStart w:id="19" w:name="modelos-no-supervisados-clustering"/>
    <w:p>
      <w:pPr>
        <w:pStyle w:val="Heading3"/>
      </w:pPr>
      <w:r>
        <w:t xml:space="preserve">3. Modelos No Supervisados (Clustering)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Selección y preparación de variables:</w:t>
      </w:r>
      <w:r>
        <w:t xml:space="preserve"> </w:t>
      </w:r>
      <w:r>
        <w:t xml:space="preserve">- Seleccionar un subconjunto de variables relevantes para agrupar clientes (por ejemplo, características demográficas o de comportamiento de compra).</w:t>
      </w:r>
      <w:r>
        <w:t xml:space="preserve"> </w:t>
      </w:r>
      <w:r>
        <w:t xml:space="preserve">- Asegurarse de escalar/normalizar los datos, ya que los algoritmos de clustering son sensibles a la escala.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Aplicación de un algoritmo de Clustering:</w:t>
      </w:r>
      <w:r>
        <w:t xml:space="preserve"> </w:t>
      </w:r>
      <w:r>
        <w:t xml:space="preserve">- Utilizar K-Means u otro algoritmo pertinente.</w:t>
      </w:r>
      <w:r>
        <w:t xml:space="preserve"> </w:t>
      </w:r>
      <w:r>
        <w:t xml:space="preserve">- Utilizar el Método del Codo (Elbow Method) o el Coeficiente de Silhouette para determinar el número óptimo de clusters (k).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Análisis de los clusters (Segmentación de clientes):</w:t>
      </w:r>
      <w:r>
        <w:t xml:space="preserve"> </w:t>
      </w:r>
      <w:r>
        <w:t xml:space="preserve">- Asignar a cada cliente (o registro) su cluster correspondiente.</w:t>
      </w:r>
      <w:r>
        <w:t xml:space="preserve"> </w:t>
      </w:r>
      <w:r>
        <w:t xml:space="preserve">- Analizar las características medias de cada grupo.</w:t>
      </w:r>
      <w:r>
        <w:t xml:space="preserve"> </w:t>
      </w:r>
      <w:r>
        <w:t xml:space="preserve">- ¿Se pueden identificar perfiles claros de clientes? (Ej:</w:t>
      </w:r>
      <w:r>
        <w:t xml:space="preserve"> </w:t>
      </w:r>
      <w:r>
        <w:t xml:space="preserve">“Clientes jóvenes de alto gasto”</w:t>
      </w:r>
      <w:r>
        <w:t xml:space="preserve">,</w:t>
      </w:r>
      <w:r>
        <w:t xml:space="preserve"> </w:t>
      </w:r>
      <w:r>
        <w:t xml:space="preserve">“Familias de bajo ticket”</w:t>
      </w:r>
      <w:r>
        <w:t xml:space="preserve">, etc.)</w:t>
      </w:r>
    </w:p>
    <w:bookmarkEnd w:id="19"/>
    <w:bookmarkStart w:id="20" w:name="conclusiones-finales"/>
    <w:p>
      <w:pPr>
        <w:pStyle w:val="Heading3"/>
      </w:pPr>
      <w:r>
        <w:t xml:space="preserve">4. Conclusiones Finales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Impacto en el negocio:</w:t>
      </w:r>
      <w:r>
        <w:t xml:space="preserve"> </w:t>
      </w:r>
      <w:r>
        <w:t xml:space="preserve">- ¿Cómo podría la empresa ABC Private Limited utilizar el modelo de regresión para aumentar sus ventas?</w:t>
      </w:r>
      <w:r>
        <w:t xml:space="preserve"> </w:t>
      </w:r>
      <w:r>
        <w:t xml:space="preserve">- ¿Qué acciones de marketing diferenciadas se podrían tomar en base a los clusters descubiertos?</w:t>
      </w:r>
      <w:r>
        <w:t xml:space="preserve"> </w:t>
      </w:r>
      <w:r>
        <w:t xml:space="preserve">- Reflexión final sobre el desempeño del modelo: ¿Es lo suficientemente bueno para ser llevado a producción?</w:t>
      </w:r>
    </w:p>
    <w:bookmarkEnd w:id="20"/>
    <w:bookmarkEnd w:id="21"/>
    <w:bookmarkEnd w:id="22"/>
    <w:sectPr>
      <w:headerReference r:id="rId7" w:type="default"/>
      <w:pgSz w:h="15840" w:orient="portrait" w:w="12240"/>
      <w:pgMar w:bottom="1440" w:footer="720" w:header="720" w:left="1800" w:right="180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styleId="Heading2" w:type="paragraph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styleId="Heading3" w:type="paragraph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styleId="Heading4" w:type="paragraph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styleId="Heading5" w:type="paragraph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styleId="Heading6" w:type="paragraph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styleId="Title" w:type="paragraph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styleId="Header" w:type="paragraph">
    <w:name w:val="header"/>
    <w:basedOn w:val="Normal"/>
    <w:link w:val="HeaderChar"/>
    <w:uiPriority w:val="99"/>
    <w:unhideWhenUsed w:val="1"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 w:val="1"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7" w:type="paragraph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themeColor="text1" w:themeTint="0000BF" w:val="404040"/>
    </w:rPr>
  </w:style>
  <w:style w:styleId="Heading8" w:type="paragraph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themeColor="text1" w:themeTint="0000BF" w:val="404040"/>
      <w:sz w:val="20"/>
      <w:szCs w:val="20"/>
    </w:rPr>
  </w:style>
  <w:style w:default="1" w:styleId="DefaultParagraphFont" w:type="character">
    <w:name w:val="Default Paragraph Font"/>
    <w:uiPriority w:val="1"/>
    <w:semiHidden w:val="1"/>
    <w:unhideWhenUsed w:val="1"/>
  </w:style>
  <w:style w:default="1" w:styleId="TableNormal" w:type="table">
    <w:name w:val="Normal Table"/>
    <w:uiPriority w:val="99"/>
    <w:semiHidden w:val="1"/>
    <w:unhideWhenUsed w:val="1"/>
    <w:tblPr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default="1" w:styleId="NoList" w:type="numbering">
    <w:name w:val="No List"/>
    <w:uiPriority w:val="99"/>
    <w:semiHidden w:val="1"/>
    <w:unhideWhenUsed w:val="1"/>
  </w:style>
  <w:style w:styleId="NoSpacing" w:type="paragraph">
    <w:name w:val="No Spacing"/>
    <w:uiPriority w:val="1"/>
    <w:qFormat w:val="1"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themeColor="accent1" w:themeShade="0000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0000BF" w:val="17365d"/>
      <w:spacing w:val="5"/>
      <w:kern w:val="28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styleId="BodyText" w:type="paragraph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 w:val="1"/>
    <w:rsid w:val="00AA1D8D"/>
    <w:pPr>
      <w:ind w:hanging="360" w:left="360"/>
      <w:contextualSpacing w:val="1"/>
    </w:pPr>
  </w:style>
  <w:style w:styleId="List2" w:type="paragraph">
    <w:name w:val="List 2"/>
    <w:basedOn w:val="Normal"/>
    <w:uiPriority w:val="99"/>
    <w:unhideWhenUsed w:val="1"/>
    <w:rsid w:val="00326F90"/>
    <w:pPr>
      <w:ind w:hanging="360" w:left="720"/>
      <w:contextualSpacing w:val="1"/>
    </w:pPr>
  </w:style>
  <w:style w:styleId="List3" w:type="paragraph">
    <w:name w:val="List 3"/>
    <w:basedOn w:val="Normal"/>
    <w:uiPriority w:val="99"/>
    <w:unhideWhenUsed w:val="1"/>
    <w:rsid w:val="00326F90"/>
    <w:pPr>
      <w:ind w:hanging="360" w:left="1080"/>
      <w:contextualSpacing w:val="1"/>
    </w:pPr>
  </w:style>
  <w:style w:styleId="ListBullet" w:type="paragraph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styleId="ListBullet2" w:type="paragraph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styleId="ListBullet3" w:type="paragraph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styleId="ListNumber" w:type="paragraph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styleId="ListNumber2" w:type="paragraph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styleId="ListNumber3" w:type="paragraph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styleId="ListContinue" w:type="paragraph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styleId="ListContinue2" w:type="paragraph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styleId="ListContinue3" w:type="paragraph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styleId="MacroText" w:type="paragraph">
    <w:name w:val="macro"/>
    <w:link w:val="MacroTextChar"/>
    <w:uiPriority w:val="99"/>
    <w:unhideWhenUsed w:val="1"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 w:val="1"/>
      <w:iCs w:val="1"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themeColor="accent1" w:themeShade="0000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themeColor="accent1" w:themeShade="0000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themeColor="text1" w:themeTint="0000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themeColor="text1" w:themeTint="0000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 w:val="1"/>
    <w:rsid w:val="00FC693F"/>
    <w:rPr>
      <w:b w:val="1"/>
      <w:bCs w:val="1"/>
    </w:rPr>
  </w:style>
  <w:style w:styleId="Emphasis" w:type="character">
    <w:name w:val="Emphasis"/>
    <w:basedOn w:val="DefaultParagraphFont"/>
    <w:uiPriority w:val="20"/>
    <w:qFormat w:val="1"/>
    <w:rsid w:val="00FC693F"/>
    <w:rPr>
      <w:i w:val="1"/>
      <w:iCs w:val="1"/>
    </w:rPr>
  </w:style>
  <w:style w:styleId="IntenseQuote" w:type="paragraph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themeColor="accent1" w:val="4f81bd"/>
    </w:rPr>
  </w:style>
  <w:style w:styleId="SubtleEmphasis" w:type="character">
    <w:name w:val="Subtle Emphasis"/>
    <w:basedOn w:val="DefaultParagraphFont"/>
    <w:uiPriority w:val="19"/>
    <w:qFormat w:val="1"/>
    <w:rsid w:val="00FC693F"/>
    <w:rPr>
      <w:i w:val="1"/>
      <w:iCs w:val="1"/>
      <w:color w:themeColor="text1" w:themeTint="00007F" w:val="808080"/>
    </w:rPr>
  </w:style>
  <w:style w:styleId="IntenseEmphasis" w:type="character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themeColor="accent1" w:val="4f81bd"/>
    </w:rPr>
  </w:style>
  <w:style w:styleId="SubtleReference" w:type="character">
    <w:name w:val="Subtle Reference"/>
    <w:basedOn w:val="DefaultParagraphFont"/>
    <w:uiPriority w:val="31"/>
    <w:qFormat w:val="1"/>
    <w:rsid w:val="00FC693F"/>
    <w:rPr>
      <w:smallCaps w:val="1"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styleId="TOCHeading" w:type="paragraph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.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.0"/>
        <w:left w:type="dxa" w:w="108.0"/>
        <w:bottom w:type="dxa" w:w="0.0"/>
        <w:right w:type="dxa" w:w="108.0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 w:val="000000"/>
    </w:rPr>
    <w:tblPr>
      <w:tblStyleRowBandSize w:val="1"/>
      <w:tblStyleColBandSize w:val="1"/>
      <w:tblInd w:type="dxa" w:w="0.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 w:val="365f91"/>
    </w:rPr>
    <w:tblPr>
      <w:tblStyleRowBandSize w:val="1"/>
      <w:tblStyleColBandSize w:val="1"/>
      <w:tblInd w:type="dxa" w:w="0.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 w:val="943634"/>
    </w:rPr>
    <w:tblPr>
      <w:tblStyleRowBandSize w:val="1"/>
      <w:tblStyleColBandSize w:val="1"/>
      <w:tblInd w:type="dxa" w:w="0.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 w:val="76923c"/>
    </w:rPr>
    <w:tblPr>
      <w:tblStyleRowBandSize w:val="1"/>
      <w:tblStyleColBandSize w:val="1"/>
      <w:tblInd w:type="dxa" w:w="0.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 w:val="5f497a"/>
    </w:rPr>
    <w:tblPr>
      <w:tblStyleRowBandSize w:val="1"/>
      <w:tblStyleColBandSize w:val="1"/>
      <w:tblInd w:type="dxa" w:w="0.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 w:val="31849b"/>
    </w:rPr>
    <w:tblPr>
      <w:tblStyleRowBandSize w:val="1"/>
      <w:tblStyleColBandSize w:val="1"/>
      <w:tblInd w:type="dxa" w:w="0.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 w:val="e36c0a"/>
    </w:rPr>
    <w:tblPr>
      <w:tblStyleRowBandSize w:val="1"/>
      <w:tblStyleColBandSize w:val="1"/>
      <w:tblInd w:type="dxa" w:w="0.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.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.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auto" w:space="0" w:sz="18" w:val="single"/>
        <w:bottom w:color="auto" w:space="0" w:sz="18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auto" w:space="0" w:sz="18" w:val="single"/>
        <w:bottom w:color="auto" w:space="0" w:sz="18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auto" w:space="0" w:sz="18" w:val="single"/>
        <w:bottom w:color="auto" w:space="0" w:sz="18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auto" w:space="0" w:sz="18" w:val="single"/>
        <w:bottom w:color="auto" w:space="0" w:sz="18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auto" w:space="0" w:sz="18" w:val="single"/>
        <w:bottom w:color="auto" w:space="0" w:sz="18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auto" w:space="0" w:sz="18" w:val="single"/>
        <w:bottom w:color="auto" w:space="0" w:sz="18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auto" w:space="0" w:sz="18" w:val="single"/>
        <w:bottom w:color="auto" w:space="0" w:sz="18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.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.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.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.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.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.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.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.0"/>
        <w:left w:type="dxa" w:w="108.0"/>
        <w:bottom w:type="dxa" w:w="0.0"/>
        <w:right w:type="dxa" w:w="108.0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.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 w:val="000000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.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 w:val="000000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.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 w:val="000000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.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 w:val="000000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.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 w:val="000000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.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 w:val="000000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.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 w:val="000000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themeColor="background1" w:val="ffffff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themeColor="background1" w:val="ffffff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themeColor="background1" w:val="ffffff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themeColor="background1" w:val="ffffff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themeColor="background1" w:val="ffffff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themeColor="background1" w:val="ffffff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.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themeColor="background1" w:val="ffffff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.0"/>
      <w:tblCellMar>
        <w:top w:type="dxa" w:w="0.0"/>
        <w:left w:type="dxa" w:w="108.0"/>
        <w:bottom w:type="dxa" w:w="0.0"/>
        <w:right w:type="dxa" w:w="108.0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.0"/>
      <w:tblCellMar>
        <w:top w:type="dxa" w:w="0.0"/>
        <w:left w:type="dxa" w:w="108.0"/>
        <w:bottom w:type="dxa" w:w="0.0"/>
        <w:right w:type="dxa" w:w="108.0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.0"/>
      <w:tblCellMar>
        <w:top w:type="dxa" w:w="0.0"/>
        <w:left w:type="dxa" w:w="108.0"/>
        <w:bottom w:type="dxa" w:w="0.0"/>
        <w:right w:type="dxa" w:w="108.0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.0"/>
      <w:tblCellMar>
        <w:top w:type="dxa" w:w="0.0"/>
        <w:left w:type="dxa" w:w="108.0"/>
        <w:bottom w:type="dxa" w:w="0.0"/>
        <w:right w:type="dxa" w:w="108.0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.0"/>
      <w:tblCellMar>
        <w:top w:type="dxa" w:w="0.0"/>
        <w:left w:type="dxa" w:w="108.0"/>
        <w:bottom w:type="dxa" w:w="0.0"/>
        <w:right w:type="dxa" w:w="108.0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.0"/>
      <w:tblCellMar>
        <w:top w:type="dxa" w:w="0.0"/>
        <w:left w:type="dxa" w:w="108.0"/>
        <w:bottom w:type="dxa" w:w="0.0"/>
        <w:right w:type="dxa" w:w="108.0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.0"/>
      <w:tblCellMar>
        <w:top w:type="dxa" w:w="0.0"/>
        <w:left w:type="dxa" w:w="108.0"/>
        <w:bottom w:type="dxa" w:w="0.0"/>
        <w:right w:type="dxa" w:w="108.0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CellMar>
        <w:top w:type="dxa" w:w="0.0"/>
        <w:left w:type="dxa" w:w="108.0"/>
        <w:bottom w:type="dxa" w:w="0.0"/>
        <w:right w:type="dxa" w:w="108.0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CellMar>
        <w:top w:type="dxa" w:w="0.0"/>
        <w:left w:type="dxa" w:w="108.0"/>
        <w:bottom w:type="dxa" w:w="0.0"/>
        <w:right w:type="dxa" w:w="108.0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CellMar>
        <w:top w:type="dxa" w:w="0.0"/>
        <w:left w:type="dxa" w:w="108.0"/>
        <w:bottom w:type="dxa" w:w="0.0"/>
        <w:right w:type="dxa" w:w="108.0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CellMar>
        <w:top w:type="dxa" w:w="0.0"/>
        <w:left w:type="dxa" w:w="108.0"/>
        <w:bottom w:type="dxa" w:w="0.0"/>
        <w:right w:type="dxa" w:w="108.0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CellMar>
        <w:top w:type="dxa" w:w="0.0"/>
        <w:left w:type="dxa" w:w="108.0"/>
        <w:bottom w:type="dxa" w:w="0.0"/>
        <w:right w:type="dxa" w:w="108.0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CellMar>
        <w:top w:type="dxa" w:w="0.0"/>
        <w:left w:type="dxa" w:w="108.0"/>
        <w:bottom w:type="dxa" w:w="0.0"/>
        <w:right w:type="dxa" w:w="108.0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CellMar>
        <w:top w:type="dxa" w:w="0.0"/>
        <w:left w:type="dxa" w:w="108.0"/>
        <w:bottom w:type="dxa" w:w="0.0"/>
        <w:right w:type="dxa" w:w="108.0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insideH w:color="ffffff" w:space="0" w:sz="4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 w:val="000000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insideH w:color="ffffff" w:space="0" w:sz="4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 w:val="000000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insideH w:color="ffffff" w:space="0" w:sz="4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 w:val="000000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insideH w:color="ffffff" w:space="0" w:sz="4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 w:val="000000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insideH w:color="ffffff" w:space="0" w:sz="4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 w:val="000000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insideH w:color="ffffff" w:space="0" w:sz="4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 w:val="000000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.0"/>
      <w:tblBorders>
        <w:insideH w:color="ffffff" w:space="0" w:sz="4" w:themeColor="background1" w:val="single"/>
      </w:tblBorders>
      <w:tblCellMar>
        <w:top w:type="dxa" w:w="0.0"/>
        <w:left w:type="dxa" w:w="108.0"/>
        <w:bottom w:type="dxa" w:w="0.0"/>
        <w:right w:type="dxa" w:w="108.0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 w:val="000000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styleId="Subtitle" w:type="paragraph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2026-05-21T01:27:57Z</dcterms:created>
  <dcterms:modified xsi:type="dcterms:W3CDTF">2026-05-21T01:27:57Z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