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val="0"/>
          <w:color w:val="595959"/>
          <w:sz w:val="22"/>
        </w:rPr>
        <w:t>해외 수소충전소 인허가 제도 조사</w:t>
      </w:r>
    </w:p>
    <w:p>
      <w:pPr>
        <w:spacing w:after="80"/>
      </w:pPr>
      <w:r>
        <w:rPr>
          <w:rFonts w:ascii="맑은 고딕" w:hAnsi="맑은 고딕" w:eastAsia="맑은 고딕"/>
          <w:b/>
          <w:sz w:val="40"/>
        </w:rPr>
        <w:t>미국(캘리포니아) 편</w:t>
      </w:r>
    </w:p>
    <w:p>
      <w:pPr>
        <w:spacing w:after="360"/>
      </w:pPr>
      <w:r>
        <w:rPr>
          <w:rFonts w:ascii="맑은 고딕" w:hAnsi="맑은 고딕" w:eastAsia="맑은 고딕"/>
          <w:b w:val="0"/>
          <w:color w:val="595959"/>
          <w:sz w:val="22"/>
        </w:rPr>
        <w:t>한국 고압가스 안전관리법 체계와의 비교를 중심으로</w:t>
      </w:r>
    </w:p>
    <w:p>
      <w:pPr>
        <w:spacing w:after="40"/>
      </w:pPr>
      <w:r>
        <w:rPr>
          <w:rFonts w:ascii="맑은 고딕" w:hAnsi="맑은 고딕" w:eastAsia="맑은 고딕"/>
          <w:b w:val="0"/>
          <w:sz w:val="20"/>
        </w:rPr>
        <w:t>2026 WE-Meet 프로젝트 · 수소시설 인허가 AI 가이드 팀</w:t>
      </w:r>
    </w:p>
    <w:p>
      <w:pPr>
        <w:spacing w:after="280"/>
      </w:pPr>
      <w:r>
        <w:rPr>
          <w:rFonts w:ascii="맑은 고딕" w:hAnsi="맑은 고딕" w:eastAsia="맑은 고딕"/>
          <w:b w:val="0"/>
          <w:sz w:val="20"/>
        </w:rPr>
        <w:t>작성자:                    소속:                    작성일: 2026. 9. 4.</w:t>
      </w:r>
    </w:p>
    <w:p>
      <w:pPr>
        <w:spacing w:before="280" w:after="120"/>
      </w:pPr>
      <w:r>
        <w:rPr>
          <w:rFonts w:ascii="맑은 고딕" w:hAnsi="맑은 고딕" w:eastAsia="맑은 고딕"/>
          <w:b/>
          <w:sz w:val="26"/>
        </w:rPr>
        <w:t>요약</w:t>
      </w:r>
    </w:p>
    <w:p>
      <w:r>
        <w:rPr>
          <w:rFonts w:ascii="맑은 고딕" w:hAnsi="맑은 고딕" w:eastAsia="맑은 고딕"/>
          <w:b w:val="0"/>
        </w:rPr>
        <w:t>미국은 수소충전소 인허가를 연방이 아니라 주와 지방정부가 관할합니다. 안전거리와 같은 구체적인 시설 기준은 연방법에 없고, 주 소방법과 지방정부가 채택한 민간 표준(NFPA 2)에 담겨 있습니다. 환경검토는 사업 규모가 아니라 해당 허가가 재량적 판단을 수반하는지에 따라 적용 여부가 갈립니다. 캘리포니아는 2022년과 2024년 두 차례 주법 개정으로 수소충전소 허가 절차를 단축했습니다. [1][2][4]</w:t>
      </w:r>
    </w:p>
    <w:p>
      <w:r>
        <w:rPr>
          <w:rFonts w:ascii="맑은 고딕" w:hAnsi="맑은 고딕" w:eastAsia="맑은 고딕"/>
          <w:b w:val="0"/>
        </w:rPr>
        <w:t>한국이 중앙정부의 시행규칙과 KGS Code로 전국에 동일한 기준을 적용하는 것과 달리, 미국은 어느 도시에 설치하느냐에 따라 적용 기준과 절차가 달라집니다. 이 점이 두 나라 제도의 가장 큰 차이입니다.</w:t>
      </w:r>
    </w:p>
    <w:p>
      <w:pPr>
        <w:spacing w:before="280" w:after="120"/>
      </w:pPr>
      <w:r>
        <w:rPr>
          <w:rFonts w:ascii="맑은 고딕" w:hAnsi="맑은 고딕" w:eastAsia="맑은 고딕"/>
          <w:b/>
          <w:sz w:val="26"/>
        </w:rPr>
        <w:t>1. 규제 권한의 구조</w:t>
      </w:r>
    </w:p>
    <w:p>
      <w:r>
        <w:rPr>
          <w:rFonts w:ascii="맑은 고딕" w:hAnsi="맑은 고딕" w:eastAsia="맑은 고딕"/>
          <w:b w:val="0"/>
        </w:rPr>
        <w:t>한국은 고압가스 안전관리법 시행규칙 별표에 제1종보호시설과의 안전거리(17m 등)가 수치로 명시되어 있고, 이 기준이 전국에 동일하게 적용됩니다.</w:t>
      </w:r>
    </w:p>
    <w:p>
      <w:r>
        <w:rPr>
          <w:rFonts w:ascii="맑은 고딕" w:hAnsi="맑은 고딕" w:eastAsia="맑은 고딕"/>
          <w:b w:val="0"/>
        </w:rPr>
        <w:t>미국은 헌법상 안전과 건축에 관한 규제 권한이 주에 있습니다. 연방정부가 관여하는 영역은 근로자 안전(OSHA), 운송(교통부), 배출(환경보호청) 세 가지에 한정되며, 충전소의 입지와 이격거리 같은 시설 기준은 주와 지방정부가 정합니다. [4]</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E7E6E6"/>
          </w:tcPr>
          <w:p>
            <w:r/>
            <w:r>
              <w:rPr>
                <w:rFonts w:ascii="맑은 고딕" w:hAnsi="맑은 고딕" w:eastAsia="맑은 고딕"/>
                <w:b/>
                <w:sz w:val="20"/>
              </w:rPr>
              <w:t>층위</w:t>
            </w:r>
          </w:p>
        </w:tc>
        <w:tc>
          <w:tcPr>
            <w:tcW w:type="dxa" w:w="5102"/>
            <w:shd w:val="clear" w:color="auto" w:fill="E7E6E6"/>
          </w:tcPr>
          <w:p>
            <w:r/>
            <w:r>
              <w:rPr>
                <w:rFonts w:ascii="맑은 고딕" w:hAnsi="맑은 고딕" w:eastAsia="맑은 고딕"/>
                <w:b/>
                <w:sz w:val="20"/>
              </w:rPr>
              <w:t>역할</w:t>
            </w:r>
          </w:p>
        </w:tc>
        <w:tc>
          <w:tcPr>
            <w:tcW w:type="dxa" w:w="2268"/>
            <w:shd w:val="clear" w:color="auto" w:fill="E7E6E6"/>
          </w:tcPr>
          <w:p>
            <w:r/>
            <w:r>
              <w:rPr>
                <w:rFonts w:ascii="맑은 고딕" w:hAnsi="맑은 고딕" w:eastAsia="맑은 고딕"/>
                <w:b/>
                <w:sz w:val="20"/>
              </w:rPr>
              <w:t>한국의 대응 기관</w:t>
            </w:r>
          </w:p>
        </w:tc>
      </w:tr>
      <w:tr>
        <w:tc>
          <w:tcPr>
            <w:tcW w:type="dxa" w:w="1701"/>
          </w:tcPr>
          <w:p>
            <w:r/>
            <w:r>
              <w:rPr>
                <w:rFonts w:ascii="맑은 고딕" w:hAnsi="맑은 고딕" w:eastAsia="맑은 고딕"/>
                <w:sz w:val="20"/>
              </w:rPr>
              <w:t>연방</w:t>
            </w:r>
          </w:p>
        </w:tc>
        <w:tc>
          <w:tcPr>
            <w:tcW w:type="dxa" w:w="5102"/>
          </w:tcPr>
          <w:p>
            <w:r/>
            <w:r>
              <w:rPr>
                <w:rFonts w:ascii="맑은 고딕" w:hAnsi="맑은 고딕" w:eastAsia="맑은 고딕"/>
                <w:sz w:val="20"/>
              </w:rPr>
              <w:t>운송, 근로자 안전, 배출 규제. 충전소 입지 기준은 없음</w:t>
            </w:r>
          </w:p>
        </w:tc>
        <w:tc>
          <w:tcPr>
            <w:tcW w:type="dxa" w:w="2268"/>
          </w:tcPr>
          <w:p>
            <w:r/>
            <w:r>
              <w:rPr>
                <w:rFonts w:ascii="맑은 고딕" w:hAnsi="맑은 고딕" w:eastAsia="맑은 고딕"/>
                <w:sz w:val="20"/>
              </w:rPr>
              <w:t>해당 없음</w:t>
            </w:r>
          </w:p>
        </w:tc>
      </w:tr>
      <w:tr>
        <w:tc>
          <w:tcPr>
            <w:tcW w:type="dxa" w:w="1701"/>
          </w:tcPr>
          <w:p>
            <w:r/>
            <w:r>
              <w:rPr>
                <w:rFonts w:ascii="맑은 고딕" w:hAnsi="맑은 고딕" w:eastAsia="맑은 고딕"/>
                <w:sz w:val="20"/>
              </w:rPr>
              <w:t>주</w:t>
            </w:r>
          </w:p>
        </w:tc>
        <w:tc>
          <w:tcPr>
            <w:tcW w:type="dxa" w:w="5102"/>
          </w:tcPr>
          <w:p>
            <w:r/>
            <w:r>
              <w:rPr>
                <w:rFonts w:ascii="맑은 고딕" w:hAnsi="맑은 고딕" w:eastAsia="맑은 고딕"/>
                <w:sz w:val="20"/>
              </w:rPr>
              <w:t>시설 기준의 실질적 근거. 캘리포니아는 주 소방법(California Fire Code)이 모든 지방정부에 적용되고, 환경검토도 주법(CEQA)에 따름</w:t>
            </w:r>
          </w:p>
        </w:tc>
        <w:tc>
          <w:tcPr>
            <w:tcW w:type="dxa" w:w="2268"/>
          </w:tcPr>
          <w:p>
            <w:r/>
            <w:r>
              <w:rPr>
                <w:rFonts w:ascii="맑은 고딕" w:hAnsi="맑은 고딕" w:eastAsia="맑은 고딕"/>
                <w:sz w:val="20"/>
              </w:rPr>
              <w:t>시행규칙 및 별표</w:t>
            </w:r>
          </w:p>
        </w:tc>
      </w:tr>
      <w:tr>
        <w:tc>
          <w:tcPr>
            <w:tcW w:type="dxa" w:w="1701"/>
          </w:tcPr>
          <w:p>
            <w:r/>
            <w:r>
              <w:rPr>
                <w:rFonts w:ascii="맑은 고딕" w:hAnsi="맑은 고딕" w:eastAsia="맑은 고딕"/>
                <w:sz w:val="20"/>
              </w:rPr>
              <w:t>지방(시·카운티)</w:t>
            </w:r>
          </w:p>
        </w:tc>
        <w:tc>
          <w:tcPr>
            <w:tcW w:type="dxa" w:w="5102"/>
          </w:tcPr>
          <w:p>
            <w:r/>
            <w:r>
              <w:rPr>
                <w:rFonts w:ascii="맑은 고딕" w:hAnsi="맑은 고딕" w:eastAsia="맑은 고딕"/>
                <w:sz w:val="20"/>
              </w:rPr>
              <w:t>실제 허가권자. 소방서 또는 건축허가 부서가 승인하며, 용도지역과 조례도 지방정부가 정함</w:t>
            </w:r>
          </w:p>
        </w:tc>
        <w:tc>
          <w:tcPr>
            <w:tcW w:type="dxa" w:w="2268"/>
          </w:tcPr>
          <w:p>
            <w:r/>
            <w:r>
              <w:rPr>
                <w:rFonts w:ascii="맑은 고딕" w:hAnsi="맑은 고딕" w:eastAsia="맑은 고딕"/>
                <w:sz w:val="20"/>
              </w:rPr>
              <w:t>시·군·구청</w:t>
            </w:r>
          </w:p>
        </w:tc>
      </w:tr>
    </w:tbl>
    <w:p>
      <w:pPr>
        <w:spacing w:after="40"/>
      </w:pPr>
    </w:p>
    <w:p>
      <w:r>
        <w:rPr>
          <w:rFonts w:ascii="맑은 고딕" w:hAnsi="맑은 고딕" w:eastAsia="맑은 고딕"/>
          <w:b w:val="0"/>
        </w:rPr>
        <w:t>한국은 시행규칙이 전국에 하나이지만, 미국은 주마다 다르고 같은 주 안에서도 지방정부마다 채택한 기준과 절차가 다릅니다.</w:t>
      </w:r>
    </w:p>
    <w:p>
      <w:pPr>
        <w:spacing w:before="280" w:after="120"/>
      </w:pPr>
      <w:r>
        <w:rPr>
          <w:rFonts w:ascii="맑은 고딕" w:hAnsi="맑은 고딕" w:eastAsia="맑은 고딕"/>
          <w:b/>
          <w:sz w:val="26"/>
        </w:rPr>
        <w:t>2. 민간 표준의 법적 지위</w:t>
      </w:r>
    </w:p>
    <w:p>
      <w:r>
        <w:rPr>
          <w:rFonts w:ascii="맑은 고딕" w:hAnsi="맑은 고딕" w:eastAsia="맑은 고딕"/>
          <w:b w:val="0"/>
        </w:rPr>
        <w:t>수소 시설의 상세 기준서는 NFPA 2(Hydrogen Technologies Code)입니다. 미국화재예방협회(NFPA)라는 민간단체가 제정한 표준으로, 그 자체는 법률이 아닙니다. 그러나 주나 지방정부가 이를 자기 관할의 기준으로 채택하면 법과 같은 강제력을 갖습니다. 실무에서 참조하는 기준은 법전이 아니라 이 표준이며, 전기설비(NFPA 70) 등도 같은 방식으로 운용됩니다. [4]</w:t>
      </w:r>
    </w:p>
    <w:p>
      <w:r>
        <w:rPr>
          <w:rFonts w:ascii="맑은 고딕" w:hAnsi="맑은 고딕" w:eastAsia="맑은 고딕"/>
          <w:b w:val="0"/>
        </w:rPr>
        <w:t>한국의 KGS Code와 역할이 같습니다. 둘 다 법이 위임한 최종 상세기준입니다. 다만 KGS Code는 공공기관인 한국가스안전공사가 제정하고 법령이 직접 위임하는 반면, NFPA 2는 민간이 제정하고 지방정부가 채택합니다. 따라서 미국에서는 어느 지방정부가 몇 년판을 채택했는지까지 확인해야 실제 적용 기준을 알 수 있습니다.</w:t>
      </w:r>
    </w:p>
    <w:p>
      <w:pPr>
        <w:spacing w:before="280" w:after="120"/>
      </w:pPr>
      <w:r>
        <w:rPr>
          <w:rFonts w:ascii="맑은 고딕" w:hAnsi="맑은 고딕" w:eastAsia="맑은 고딕"/>
          <w:b/>
          <w:sz w:val="26"/>
        </w:rPr>
        <w:t>3. 필요한 허가의 종류</w:t>
      </w:r>
    </w:p>
    <w:p>
      <w:r>
        <w:rPr>
          <w:rFonts w:ascii="맑은 고딕" w:hAnsi="맑은 고딕" w:eastAsia="맑은 고딕"/>
          <w:b w:val="0"/>
        </w:rPr>
        <w:t>사업 형태와 부지 조건에 따라 필요한 허가가 달라집니다. 자료에서 자주 쓰이는 AHJ(Authority Having Jurisdiction)는 관할 승인권자를 뜻하며, 소방서장일 수도 건축부서장일 수도 있어 특정 기관명 대신 이렇게 통칭합니다. [1][5]</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val="clear" w:color="auto" w:fill="E7E6E6"/>
          </w:tcPr>
          <w:p>
            <w:r/>
            <w:r>
              <w:rPr>
                <w:rFonts w:ascii="맑은 고딕" w:hAnsi="맑은 고딕" w:eastAsia="맑은 고딕"/>
                <w:b/>
                <w:sz w:val="20"/>
              </w:rPr>
              <w:t>허가</w:t>
            </w:r>
          </w:p>
        </w:tc>
        <w:tc>
          <w:tcPr>
            <w:tcW w:type="dxa" w:w="2268"/>
            <w:shd w:val="clear" w:color="auto" w:fill="E7E6E6"/>
          </w:tcPr>
          <w:p>
            <w:r/>
            <w:r>
              <w:rPr>
                <w:rFonts w:ascii="맑은 고딕" w:hAnsi="맑은 고딕" w:eastAsia="맑은 고딕"/>
                <w:b/>
                <w:sz w:val="20"/>
              </w:rPr>
              <w:t>담당 기관</w:t>
            </w:r>
          </w:p>
        </w:tc>
        <w:tc>
          <w:tcPr>
            <w:tcW w:type="dxa" w:w="3969"/>
            <w:shd w:val="clear" w:color="auto" w:fill="E7E6E6"/>
          </w:tcPr>
          <w:p>
            <w:r/>
            <w:r>
              <w:rPr>
                <w:rFonts w:ascii="맑은 고딕" w:hAnsi="맑은 고딕" w:eastAsia="맑은 고딕"/>
                <w:b/>
                <w:sz w:val="20"/>
              </w:rPr>
              <w:t>적용 조건</w:t>
            </w:r>
          </w:p>
        </w:tc>
      </w:tr>
      <w:tr>
        <w:tc>
          <w:tcPr>
            <w:tcW w:type="dxa" w:w="2835"/>
          </w:tcPr>
          <w:p>
            <w:r/>
            <w:r>
              <w:rPr>
                <w:rFonts w:ascii="맑은 고딕" w:hAnsi="맑은 고딕" w:eastAsia="맑은 고딕"/>
                <w:sz w:val="20"/>
              </w:rPr>
              <w:t>건축허가(Building Permit)</w:t>
            </w:r>
          </w:p>
        </w:tc>
        <w:tc>
          <w:tcPr>
            <w:tcW w:type="dxa" w:w="2268"/>
          </w:tcPr>
          <w:p>
            <w:r/>
            <w:r>
              <w:rPr>
                <w:rFonts w:ascii="맑은 고딕" w:hAnsi="맑은 고딕" w:eastAsia="맑은 고딕"/>
                <w:sz w:val="20"/>
              </w:rPr>
              <w:t>시·카운티 건축부서</w:t>
            </w:r>
          </w:p>
        </w:tc>
        <w:tc>
          <w:tcPr>
            <w:tcW w:type="dxa" w:w="3969"/>
          </w:tcPr>
          <w:p>
            <w:r/>
            <w:r>
              <w:rPr>
                <w:rFonts w:ascii="맑은 고딕" w:hAnsi="맑은 고딕" w:eastAsia="맑은 고딕"/>
                <w:sz w:val="20"/>
              </w:rPr>
              <w:t>충전설비 설치 시 항상 필요</w:t>
            </w:r>
          </w:p>
        </w:tc>
      </w:tr>
      <w:tr>
        <w:tc>
          <w:tcPr>
            <w:tcW w:type="dxa" w:w="2835"/>
          </w:tcPr>
          <w:p>
            <w:r/>
            <w:r>
              <w:rPr>
                <w:rFonts w:ascii="맑은 고딕" w:hAnsi="맑은 고딕" w:eastAsia="맑은 고딕"/>
                <w:sz w:val="20"/>
              </w:rPr>
              <w:t>소방 승인(Fire Permit)</w:t>
            </w:r>
          </w:p>
        </w:tc>
        <w:tc>
          <w:tcPr>
            <w:tcW w:type="dxa" w:w="2268"/>
          </w:tcPr>
          <w:p>
            <w:r/>
            <w:r>
              <w:rPr>
                <w:rFonts w:ascii="맑은 고딕" w:hAnsi="맑은 고딕" w:eastAsia="맑은 고딕"/>
                <w:sz w:val="20"/>
              </w:rPr>
              <w:t>관할 소방서</w:t>
            </w:r>
          </w:p>
        </w:tc>
        <w:tc>
          <w:tcPr>
            <w:tcW w:type="dxa" w:w="3969"/>
          </w:tcPr>
          <w:p>
            <w:r/>
            <w:r>
              <w:rPr>
                <w:rFonts w:ascii="맑은 고딕" w:hAnsi="맑은 고딕" w:eastAsia="맑은 고딕"/>
                <w:sz w:val="20"/>
              </w:rPr>
              <w:t>안전거리와 방호 기준 적합 여부 확인. 사실상 모든 사업에 해당</w:t>
            </w:r>
          </w:p>
        </w:tc>
      </w:tr>
      <w:tr>
        <w:tc>
          <w:tcPr>
            <w:tcW w:type="dxa" w:w="2835"/>
          </w:tcPr>
          <w:p>
            <w:r/>
            <w:r>
              <w:rPr>
                <w:rFonts w:ascii="맑은 고딕" w:hAnsi="맑은 고딕" w:eastAsia="맑은 고딕"/>
                <w:sz w:val="20"/>
              </w:rPr>
              <w:t>조건부 사용허가(Conditional Use Permit)</w:t>
            </w:r>
          </w:p>
        </w:tc>
        <w:tc>
          <w:tcPr>
            <w:tcW w:type="dxa" w:w="2268"/>
          </w:tcPr>
          <w:p>
            <w:r/>
            <w:r>
              <w:rPr>
                <w:rFonts w:ascii="맑은 고딕" w:hAnsi="맑은 고딕" w:eastAsia="맑은 고딕"/>
                <w:sz w:val="20"/>
              </w:rPr>
              <w:t>도시계획부서</w:t>
            </w:r>
          </w:p>
        </w:tc>
        <w:tc>
          <w:tcPr>
            <w:tcW w:type="dxa" w:w="3969"/>
          </w:tcPr>
          <w:p>
            <w:r/>
            <w:r>
              <w:rPr>
                <w:rFonts w:ascii="맑은 고딕" w:hAnsi="맑은 고딕" w:eastAsia="맑은 고딕"/>
                <w:sz w:val="20"/>
              </w:rPr>
              <w:t>용도지역이 바로 맞지 않을 때. 주민의견 수렴과 환경검토가 뒤따름</w:t>
            </w:r>
          </w:p>
        </w:tc>
      </w:tr>
      <w:tr>
        <w:tc>
          <w:tcPr>
            <w:tcW w:type="dxa" w:w="2835"/>
          </w:tcPr>
          <w:p>
            <w:r/>
            <w:r>
              <w:rPr>
                <w:rFonts w:ascii="맑은 고딕" w:hAnsi="맑은 고딕" w:eastAsia="맑은 고딕"/>
                <w:sz w:val="20"/>
              </w:rPr>
              <w:t>환경검토(CEQA)</w:t>
            </w:r>
          </w:p>
        </w:tc>
        <w:tc>
          <w:tcPr>
            <w:tcW w:type="dxa" w:w="2268"/>
          </w:tcPr>
          <w:p>
            <w:r/>
            <w:r>
              <w:rPr>
                <w:rFonts w:ascii="맑은 고딕" w:hAnsi="맑은 고딕" w:eastAsia="맑은 고딕"/>
                <w:sz w:val="20"/>
              </w:rPr>
              <w:t>해당 인허가 기관</w:t>
            </w:r>
          </w:p>
        </w:tc>
        <w:tc>
          <w:tcPr>
            <w:tcW w:type="dxa" w:w="3969"/>
          </w:tcPr>
          <w:p>
            <w:r/>
            <w:r>
              <w:rPr>
                <w:rFonts w:ascii="맑은 고딕" w:hAnsi="맑은 고딕" w:eastAsia="맑은 고딕"/>
                <w:sz w:val="20"/>
              </w:rPr>
              <w:t>허가가 재량적일 때. 면제 사례도 많음</w:t>
            </w:r>
          </w:p>
        </w:tc>
      </w:tr>
      <w:tr>
        <w:tc>
          <w:tcPr>
            <w:tcW w:type="dxa" w:w="2835"/>
          </w:tcPr>
          <w:p>
            <w:r/>
            <w:r>
              <w:rPr>
                <w:rFonts w:ascii="맑은 고딕" w:hAnsi="맑은 고딕" w:eastAsia="맑은 고딕"/>
                <w:sz w:val="20"/>
              </w:rPr>
              <w:t>대기 배출허가</w:t>
            </w:r>
          </w:p>
        </w:tc>
        <w:tc>
          <w:tcPr>
            <w:tcW w:type="dxa" w:w="2268"/>
          </w:tcPr>
          <w:p>
            <w:r/>
            <w:r>
              <w:rPr>
                <w:rFonts w:ascii="맑은 고딕" w:hAnsi="맑은 고딕" w:eastAsia="맑은 고딕"/>
                <w:sz w:val="20"/>
              </w:rPr>
              <w:t>지역 대기관리국(Air District)</w:t>
            </w:r>
          </w:p>
        </w:tc>
        <w:tc>
          <w:tcPr>
            <w:tcW w:type="dxa" w:w="3969"/>
          </w:tcPr>
          <w:p>
            <w:r/>
            <w:r>
              <w:rPr>
                <w:rFonts w:ascii="맑은 고딕" w:hAnsi="맑은 고딕" w:eastAsia="맑은 고딕"/>
                <w:sz w:val="20"/>
              </w:rPr>
              <w:t>개질기 등 배출설비를 둘 때. 부지 내 수소 생산이 없으면 대개 해당 없음</w:t>
            </w:r>
          </w:p>
        </w:tc>
      </w:tr>
    </w:tbl>
    <w:p>
      <w:pPr>
        <w:spacing w:after="40"/>
      </w:pPr>
    </w:p>
    <w:p>
      <w:pPr>
        <w:spacing w:before="280" w:after="120"/>
      </w:pPr>
      <w:r>
        <w:rPr>
          <w:rFonts w:ascii="맑은 고딕" w:hAnsi="맑은 고딕" w:eastAsia="맑은 고딕"/>
          <w:b/>
          <w:sz w:val="26"/>
        </w:rPr>
        <w:t>4. 환경검토의 적용 기준</w:t>
      </w:r>
    </w:p>
    <w:p>
      <w:r>
        <w:rPr>
          <w:rFonts w:ascii="맑은 고딕" w:hAnsi="맑은 고딕" w:eastAsia="맑은 고딕"/>
          <w:b w:val="0"/>
        </w:rPr>
        <w:t>한국의 환경영향평가법은 사업 규모가 기준을 넘으면 적용됩니다. 캘리포니아 환경품질법(CEQA)은 사업 규모가 아니라 해당 허가가 재량적(discretionary)인지에 따라 적용됩니다.</w:t>
      </w:r>
    </w:p>
    <w:p>
      <w:r>
        <w:rPr>
          <w:rFonts w:ascii="맑은 고딕" w:hAnsi="맑은 고딕" w:eastAsia="맑은 고딕"/>
          <w:b w:val="0"/>
        </w:rPr>
        <w:t>재량적 허가란 담당 공무원이 승인 여부를 판단하는 허가로, 조건부 사용허가가 대표적입니다. 반대로 요건을 충족하면 반드시 내주어야 하는 허가(건축허가 등)는 비재량적(ministerial) 허가로 분류되어 환경검토 대상이 아닙니다. 실제 사례로 애너하임의 한 수소충전소 개선사업은 조건부 사용허가를 받으면서 소규모 설치 사유로 CEQA 면제 처리되었습니다. 이러한 판단 기록은 CEQAnet에 공개되어 선례를 조회할 수 있습니다. [6]</w:t>
      </w:r>
    </w:p>
    <w:p>
      <w:pPr>
        <w:spacing w:before="280" w:after="120"/>
      </w:pPr>
      <w:r>
        <w:rPr>
          <w:rFonts w:ascii="맑은 고딕" w:hAnsi="맑은 고딕" w:eastAsia="맑은 고딕"/>
          <w:b/>
          <w:sz w:val="26"/>
        </w:rPr>
        <w:t>5. 최근 입법 동향</w:t>
      </w:r>
    </w:p>
    <w:p>
      <w:r>
        <w:rPr>
          <w:rFonts w:ascii="맑은 고딕" w:hAnsi="맑은 고딕" w:eastAsia="맑은 고딕"/>
          <w:b w:val="0"/>
        </w:rPr>
        <w:t>캘리포니아는 최근 두 차례 주법 개정으로 수소충전소 허가 절차를 단축했습니다.</w:t>
      </w:r>
    </w:p>
    <w:p>
      <w:pPr>
        <w:pStyle w:val="ListBullet"/>
      </w:pPr>
      <w:r>
        <w:rPr>
          <w:rFonts w:ascii="맑은 고딕" w:hAnsi="맑은 고딕" w:eastAsia="맑은 고딕"/>
        </w:rPr>
        <w:t>SB 1291(2022): 모든 시와 카운티가 수소충전소에 대한 신속 인허가(streamlined permitting) 절차를 마련하도록 의무화했습니다. [1]</w:t>
      </w:r>
    </w:p>
    <w:p>
      <w:pPr>
        <w:pStyle w:val="ListBullet"/>
      </w:pPr>
      <w:r>
        <w:rPr>
          <w:rFonts w:ascii="맑은 고딕" w:hAnsi="맑은 고딕" w:eastAsia="맑은 고딕"/>
        </w:rPr>
        <w:t>SB 1418(2024): 산업 또는 상업 용도지역에 위치하고, 주거 세대가 없으며, 기존에 주유소였던 부지의 수소충전소는 건축허가와 같은 비재량 허가로 행정 승인하도록 했습니다. 심사 범위도 보건과 안전 요건으로 제한됩니다. 조례 제정 기한은 인구 25만 이상 지방정부는 2025년 9월, 미만은 2028년 9월입니다. [2][3]</w:t>
      </w:r>
    </w:p>
    <w:p>
      <w:r>
        <w:rPr>
          <w:rFonts w:ascii="맑은 고딕" w:hAnsi="맑은 고딕" w:eastAsia="맑은 고딕"/>
          <w:b w:val="0"/>
        </w:rPr>
        <w:t>SB 1418의 핵심은 허가의 성격을 비재량으로 전환한 데 있습니다. 재량 판단이 없으면 CEQA가 발동하지 않으므로, 환경법을 개정하지 않고도 허가 하나의 성격을 바꾸어 절차 전체를 단축한 셈입니다. [3]</w:t>
      </w:r>
    </w:p>
    <w:p>
      <w:pPr>
        <w:spacing w:before="280" w:after="120"/>
      </w:pPr>
      <w:r>
        <w:rPr>
          <w:rFonts w:ascii="맑은 고딕" w:hAnsi="맑은 고딕" w:eastAsia="맑은 고딕"/>
          <w:b/>
          <w:sz w:val="26"/>
        </w:rPr>
        <w:t>6. 한국 제도와의 비교</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E7E6E6"/>
          </w:tcPr>
          <w:p>
            <w:r/>
            <w:r>
              <w:rPr>
                <w:rFonts w:ascii="맑은 고딕" w:hAnsi="맑은 고딕" w:eastAsia="맑은 고딕"/>
                <w:b/>
                <w:sz w:val="20"/>
              </w:rPr>
              <w:t>항목</w:t>
            </w:r>
          </w:p>
        </w:tc>
        <w:tc>
          <w:tcPr>
            <w:tcW w:type="dxa" w:w="3402"/>
            <w:shd w:val="clear" w:color="auto" w:fill="E7E6E6"/>
          </w:tcPr>
          <w:p>
            <w:r/>
            <w:r>
              <w:rPr>
                <w:rFonts w:ascii="맑은 고딕" w:hAnsi="맑은 고딕" w:eastAsia="맑은 고딕"/>
                <w:b/>
                <w:sz w:val="20"/>
              </w:rPr>
              <w:t>한국</w:t>
            </w:r>
          </w:p>
        </w:tc>
        <w:tc>
          <w:tcPr>
            <w:tcW w:type="dxa" w:w="3402"/>
            <w:shd w:val="clear" w:color="auto" w:fill="E7E6E6"/>
          </w:tcPr>
          <w:p>
            <w:r/>
            <w:r>
              <w:rPr>
                <w:rFonts w:ascii="맑은 고딕" w:hAnsi="맑은 고딕" w:eastAsia="맑은 고딕"/>
                <w:b/>
                <w:sz w:val="20"/>
              </w:rPr>
              <w:t>캘리포니아</w:t>
            </w:r>
          </w:p>
        </w:tc>
      </w:tr>
      <w:tr>
        <w:tc>
          <w:tcPr>
            <w:tcW w:type="dxa" w:w="2268"/>
          </w:tcPr>
          <w:p>
            <w:r/>
            <w:r>
              <w:rPr>
                <w:rFonts w:ascii="맑은 고딕" w:hAnsi="맑은 고딕" w:eastAsia="맑은 고딕"/>
                <w:sz w:val="20"/>
              </w:rPr>
              <w:t>기준 수치 제정 주체</w:t>
            </w:r>
          </w:p>
        </w:tc>
        <w:tc>
          <w:tcPr>
            <w:tcW w:type="dxa" w:w="3402"/>
          </w:tcPr>
          <w:p>
            <w:r/>
            <w:r>
              <w:rPr>
                <w:rFonts w:ascii="맑은 고딕" w:hAnsi="맑은 고딕" w:eastAsia="맑은 고딕"/>
                <w:sz w:val="20"/>
              </w:rPr>
              <w:t>중앙정부 (시행규칙 별표, KGS Code)</w:t>
            </w:r>
          </w:p>
        </w:tc>
        <w:tc>
          <w:tcPr>
            <w:tcW w:type="dxa" w:w="3402"/>
          </w:tcPr>
          <w:p>
            <w:r/>
            <w:r>
              <w:rPr>
                <w:rFonts w:ascii="맑은 고딕" w:hAnsi="맑은 고딕" w:eastAsia="맑은 고딕"/>
                <w:sz w:val="20"/>
              </w:rPr>
              <w:t>주와 지방정부 (Fire Code, NFPA 2)</w:t>
            </w:r>
          </w:p>
        </w:tc>
      </w:tr>
      <w:tr>
        <w:tc>
          <w:tcPr>
            <w:tcW w:type="dxa" w:w="2268"/>
          </w:tcPr>
          <w:p>
            <w:r/>
            <w:r>
              <w:rPr>
                <w:rFonts w:ascii="맑은 고딕" w:hAnsi="맑은 고딕" w:eastAsia="맑은 고딕"/>
                <w:sz w:val="20"/>
              </w:rPr>
              <w:t>허가권자</w:t>
            </w:r>
          </w:p>
        </w:tc>
        <w:tc>
          <w:tcPr>
            <w:tcW w:type="dxa" w:w="3402"/>
          </w:tcPr>
          <w:p>
            <w:r/>
            <w:r>
              <w:rPr>
                <w:rFonts w:ascii="맑은 고딕" w:hAnsi="맑은 고딕" w:eastAsia="맑은 고딕"/>
                <w:sz w:val="20"/>
              </w:rPr>
              <w:t>시장·군수·구청장</w:t>
            </w:r>
          </w:p>
        </w:tc>
        <w:tc>
          <w:tcPr>
            <w:tcW w:type="dxa" w:w="3402"/>
          </w:tcPr>
          <w:p>
            <w:r/>
            <w:r>
              <w:rPr>
                <w:rFonts w:ascii="맑은 고딕" w:hAnsi="맑은 고딕" w:eastAsia="맑은 고딕"/>
                <w:sz w:val="20"/>
              </w:rPr>
              <w:t>소방서장 또는 건축부서 (AHJ)</w:t>
            </w:r>
          </w:p>
        </w:tc>
      </w:tr>
      <w:tr>
        <w:tc>
          <w:tcPr>
            <w:tcW w:type="dxa" w:w="2268"/>
          </w:tcPr>
          <w:p>
            <w:r/>
            <w:r>
              <w:rPr>
                <w:rFonts w:ascii="맑은 고딕" w:hAnsi="맑은 고딕" w:eastAsia="맑은 고딕"/>
                <w:sz w:val="20"/>
              </w:rPr>
              <w:t>최종 상세기준</w:t>
            </w:r>
          </w:p>
        </w:tc>
        <w:tc>
          <w:tcPr>
            <w:tcW w:type="dxa" w:w="3402"/>
          </w:tcPr>
          <w:p>
            <w:r/>
            <w:r>
              <w:rPr>
                <w:rFonts w:ascii="맑은 고딕" w:hAnsi="맑은 고딕" w:eastAsia="맑은 고딕"/>
                <w:sz w:val="20"/>
              </w:rPr>
              <w:t>공공기관 제정 (한국가스안전공사)</w:t>
            </w:r>
          </w:p>
        </w:tc>
        <w:tc>
          <w:tcPr>
            <w:tcW w:type="dxa" w:w="3402"/>
          </w:tcPr>
          <w:p>
            <w:r/>
            <w:r>
              <w:rPr>
                <w:rFonts w:ascii="맑은 고딕" w:hAnsi="맑은 고딕" w:eastAsia="맑은 고딕"/>
                <w:sz w:val="20"/>
              </w:rPr>
              <w:t>민간 표준 채택 (NFPA)</w:t>
            </w:r>
          </w:p>
        </w:tc>
      </w:tr>
      <w:tr>
        <w:tc>
          <w:tcPr>
            <w:tcW w:type="dxa" w:w="2268"/>
          </w:tcPr>
          <w:p>
            <w:r/>
            <w:r>
              <w:rPr>
                <w:rFonts w:ascii="맑은 고딕" w:hAnsi="맑은 고딕" w:eastAsia="맑은 고딕"/>
                <w:sz w:val="20"/>
              </w:rPr>
              <w:t>환경검토 적용 기준</w:t>
            </w:r>
          </w:p>
        </w:tc>
        <w:tc>
          <w:tcPr>
            <w:tcW w:type="dxa" w:w="3402"/>
          </w:tcPr>
          <w:p>
            <w:r/>
            <w:r>
              <w:rPr>
                <w:rFonts w:ascii="맑은 고딕" w:hAnsi="맑은 고딕" w:eastAsia="맑은 고딕"/>
                <w:sz w:val="20"/>
              </w:rPr>
              <w:t>사업 규모</w:t>
            </w:r>
          </w:p>
        </w:tc>
        <w:tc>
          <w:tcPr>
            <w:tcW w:type="dxa" w:w="3402"/>
          </w:tcPr>
          <w:p>
            <w:r/>
            <w:r>
              <w:rPr>
                <w:rFonts w:ascii="맑은 고딕" w:hAnsi="맑은 고딕" w:eastAsia="맑은 고딕"/>
                <w:sz w:val="20"/>
              </w:rPr>
              <w:t>허가의 재량성 여부</w:t>
            </w:r>
          </w:p>
        </w:tc>
      </w:tr>
      <w:tr>
        <w:tc>
          <w:tcPr>
            <w:tcW w:type="dxa" w:w="2268"/>
          </w:tcPr>
          <w:p>
            <w:r/>
            <w:r>
              <w:rPr>
                <w:rFonts w:ascii="맑은 고딕" w:hAnsi="맑은 고딕" w:eastAsia="맑은 고딕"/>
                <w:sz w:val="20"/>
              </w:rPr>
              <w:t>지역 간 편차</w:t>
            </w:r>
          </w:p>
        </w:tc>
        <w:tc>
          <w:tcPr>
            <w:tcW w:type="dxa" w:w="3402"/>
          </w:tcPr>
          <w:p>
            <w:r/>
            <w:r>
              <w:rPr>
                <w:rFonts w:ascii="맑은 고딕" w:hAnsi="맑은 고딕" w:eastAsia="맑은 고딕"/>
                <w:sz w:val="20"/>
              </w:rPr>
              <w:t>전국 동일</w:t>
            </w:r>
          </w:p>
        </w:tc>
        <w:tc>
          <w:tcPr>
            <w:tcW w:type="dxa" w:w="3402"/>
          </w:tcPr>
          <w:p>
            <w:r/>
            <w:r>
              <w:rPr>
                <w:rFonts w:ascii="맑은 고딕" w:hAnsi="맑은 고딕" w:eastAsia="맑은 고딕"/>
                <w:sz w:val="20"/>
              </w:rPr>
              <w:t>시·카운티마다 상이</w:t>
            </w:r>
          </w:p>
        </w:tc>
      </w:tr>
      <w:tr>
        <w:tc>
          <w:tcPr>
            <w:tcW w:type="dxa" w:w="2268"/>
          </w:tcPr>
          <w:p>
            <w:r/>
            <w:r>
              <w:rPr>
                <w:rFonts w:ascii="맑은 고딕" w:hAnsi="맑은 고딕" w:eastAsia="맑은 고딕"/>
                <w:sz w:val="20"/>
              </w:rPr>
              <w:t>최근 동향</w:t>
            </w:r>
          </w:p>
        </w:tc>
        <w:tc>
          <w:tcPr>
            <w:tcW w:type="dxa" w:w="3402"/>
          </w:tcPr>
          <w:p>
            <w:r/>
            <w:r>
              <w:rPr>
                <w:rFonts w:ascii="맑은 고딕" w:hAnsi="맑은 고딕" w:eastAsia="맑은 고딕"/>
                <w:sz w:val="20"/>
              </w:rPr>
              <w:t>규제특례를 통한 개별 완화</w:t>
            </w:r>
          </w:p>
        </w:tc>
        <w:tc>
          <w:tcPr>
            <w:tcW w:type="dxa" w:w="3402"/>
          </w:tcPr>
          <w:p>
            <w:r/>
            <w:r>
              <w:rPr>
                <w:rFonts w:ascii="맑은 고딕" w:hAnsi="맑은 고딕" w:eastAsia="맑은 고딕"/>
                <w:sz w:val="20"/>
              </w:rPr>
              <w:t>입법을 통한 절차 단축 (SB 1291, SB 1418)</w:t>
            </w:r>
          </w:p>
        </w:tc>
      </w:tr>
    </w:tbl>
    <w:p>
      <w:pPr>
        <w:spacing w:after="40"/>
      </w:pPr>
    </w:p>
    <w:p>
      <w:r>
        <w:rPr>
          <w:rFonts w:ascii="맑은 고딕" w:hAnsi="맑은 고딕" w:eastAsia="맑은 고딕"/>
          <w:b w:val="0"/>
        </w:rPr>
        <w:t>팀 챗봇 개발 관점에서 보면, 한국 관련 질문은 법 조문을 찾으면 답이 되지만 미국 관련 질문은 설치 지역을 먼저 확인해야 답할 수 있습니다. 미국 자료를 챗봇에 반영할 때는 지역 정보를 입력받는 구조가 필요합니다.</w:t>
      </w:r>
    </w:p>
    <w:p>
      <w:pPr>
        <w:spacing w:before="280" w:after="120"/>
      </w:pPr>
      <w:r>
        <w:rPr>
          <w:rFonts w:ascii="맑은 고딕" w:hAnsi="맑은 고딕" w:eastAsia="맑은 고딕"/>
          <w:b/>
          <w:sz w:val="26"/>
        </w:rPr>
        <w:t>7. 추가 확인이 필요한 사항</w:t>
      </w:r>
    </w:p>
    <w:p>
      <w:pPr>
        <w:pStyle w:val="ListBullet"/>
      </w:pPr>
      <w:r>
        <w:rPr>
          <w:rFonts w:ascii="맑은 고딕" w:hAnsi="맑은 고딕" w:eastAsia="맑은 고딕"/>
        </w:rPr>
        <w:t>대기 배출허가가 수소충전소에 일반적으로 적용되는지는 확인하지 못했습니다. 대기관리국마다 기준이 다르고, 부지 내 수소 생산 여부에 따라 달라집니다.</w:t>
      </w:r>
    </w:p>
    <w:p>
      <w:pPr>
        <w:pStyle w:val="ListBullet"/>
      </w:pPr>
      <w:r>
        <w:rPr>
          <w:rFonts w:ascii="맑은 고딕" w:hAnsi="맑은 고딕" w:eastAsia="맑은 고딕"/>
        </w:rPr>
        <w:t>캘리포니아가 현재 NFPA 2의 몇 년판을 채택하고 있는지 확인이 필요합니다.</w:t>
      </w:r>
    </w:p>
    <w:p>
      <w:pPr>
        <w:pStyle w:val="ListBullet"/>
      </w:pPr>
      <w:r>
        <w:rPr>
          <w:rFonts w:ascii="맑은 고딕" w:hAnsi="맑은 고딕" w:eastAsia="맑은 고딕"/>
        </w:rPr>
        <w:t>SB 1418 시행 이후 실제 허가 소요 기간이 얼마나 단축되었는지에 대한 통계는 찾지 못했습니다.</w:t>
      </w:r>
    </w:p>
    <w:p>
      <w:pPr>
        <w:spacing w:before="280" w:after="120"/>
      </w:pPr>
      <w:r>
        <w:rPr>
          <w:rFonts w:ascii="맑은 고딕" w:hAnsi="맑은 고딕" w:eastAsia="맑은 고딕"/>
          <w:b/>
          <w:sz w:val="26"/>
        </w:rPr>
        <w:t>참고 자료</w:t>
      </w:r>
    </w:p>
    <w:p>
      <w:pPr>
        <w:spacing w:after="80"/>
      </w:pPr>
      <w:r>
        <w:rPr>
          <w:rFonts w:ascii="맑은 고딕" w:hAnsi="맑은 고딕" w:eastAsia="맑은 고딕"/>
          <w:b w:val="0"/>
          <w:sz w:val="20"/>
        </w:rPr>
        <w:t>아래 자료는 모두 2026년 8월에 온라인으로 확인했습니다.</w:t>
      </w:r>
    </w:p>
    <w:p>
      <w:pPr>
        <w:spacing w:after="60"/>
        <w:ind w:left="454" w:hanging="454"/>
      </w:pPr>
      <w:r>
        <w:rPr>
          <w:rFonts w:ascii="맑은 고딕" w:hAnsi="맑은 고딕" w:eastAsia="맑은 고딕"/>
          <w:sz w:val="19"/>
        </w:rPr>
        <w:t>[1] 캘리포니아 주정부 경제개발청(GO-Biz), Hydrogen Readiness 안내 페이지</w:t>
      </w:r>
      <w:r>
        <w:br/>
      </w:r>
      <w:r>
        <w:rPr>
          <w:rFonts w:ascii="맑은 고딕" w:hAnsi="맑은 고딕" w:eastAsia="맑은 고딕"/>
          <w:color w:val="1F4E79"/>
          <w:sz w:val="18"/>
        </w:rPr>
        <w:t>https://business.ca.gov/industries/zero-emission-vehicles/hydrogen-readiness/</w:t>
      </w:r>
    </w:p>
    <w:p>
      <w:pPr>
        <w:spacing w:after="60"/>
        <w:ind w:left="454" w:hanging="454"/>
      </w:pPr>
      <w:r>
        <w:rPr>
          <w:rFonts w:ascii="맑은 고딕" w:hAnsi="맑은 고딕" w:eastAsia="맑은 고딕"/>
          <w:sz w:val="19"/>
        </w:rPr>
        <w:t>[2] 캘리포니아 주 상원 제30선거구(Archuleta 의원실), SB 1418 서명 보도자료 (2024)</w:t>
      </w:r>
      <w:r>
        <w:br/>
      </w:r>
      <w:r>
        <w:rPr>
          <w:rFonts w:ascii="맑은 고딕" w:hAnsi="맑은 고딕" w:eastAsia="맑은 고딕"/>
          <w:color w:val="1F4E79"/>
          <w:sz w:val="18"/>
        </w:rPr>
        <w:t>https://sd30.senate.ca.gov/news/press-release/governor-signs-archuleta-bill-streamline-permitting-process-hydrogen-fueling</w:t>
      </w:r>
    </w:p>
    <w:p>
      <w:pPr>
        <w:spacing w:after="60"/>
        <w:ind w:left="454" w:hanging="454"/>
      </w:pPr>
      <w:r>
        <w:rPr>
          <w:rFonts w:ascii="맑은 고딕" w:hAnsi="맑은 고딕" w:eastAsia="맑은 고딕"/>
          <w:sz w:val="19"/>
        </w:rPr>
        <w:t>[3] California County News, Public Law Update: Expedited Review of Hydrogen Fueling Station Permits (SB 1418) (2025. 2.)</w:t>
      </w:r>
      <w:r>
        <w:br/>
      </w:r>
      <w:r>
        <w:rPr>
          <w:rFonts w:ascii="맑은 고딕" w:hAnsi="맑은 고딕" w:eastAsia="맑은 고딕"/>
          <w:color w:val="1F4E79"/>
          <w:sz w:val="18"/>
        </w:rPr>
        <w:t>https://www.californiacountynews.org/news/2025/02/burke-public-law-update-expedited-review-hydrogen-fueling-station-permits-sb-1418</w:t>
      </w:r>
    </w:p>
    <w:p>
      <w:pPr>
        <w:spacing w:after="60"/>
        <w:ind w:left="454" w:hanging="454"/>
      </w:pPr>
      <w:r>
        <w:rPr>
          <w:rFonts w:ascii="맑은 고딕" w:hAnsi="맑은 고딕" w:eastAsia="맑은 고딕"/>
          <w:sz w:val="19"/>
        </w:rPr>
        <w:t>[4] 미국 에너지부 H2Tools, Codes, Standards &amp; Permitting Tools</w:t>
      </w:r>
      <w:r>
        <w:br/>
      </w:r>
      <w:r>
        <w:rPr>
          <w:rFonts w:ascii="맑은 고딕" w:hAnsi="맑은 고딕" w:eastAsia="맑은 고딕"/>
          <w:color w:val="1F4E79"/>
          <w:sz w:val="18"/>
        </w:rPr>
        <w:t>https://h2tools.org/codes-standards-permitting-tools</w:t>
      </w:r>
    </w:p>
    <w:p>
      <w:pPr>
        <w:spacing w:after="60"/>
        <w:ind w:left="454" w:hanging="454"/>
      </w:pPr>
      <w:r>
        <w:rPr>
          <w:rFonts w:ascii="맑은 고딕" w:hAnsi="맑은 고딕" w:eastAsia="맑은 고딕"/>
          <w:sz w:val="19"/>
        </w:rPr>
        <w:t>[5] CALSTART EnergIIZE, Hydrogen Fueling Station Permitting Guide (2022. 6.)</w:t>
      </w:r>
      <w:r>
        <w:br/>
      </w:r>
      <w:r>
        <w:rPr>
          <w:rFonts w:ascii="맑은 고딕" w:hAnsi="맑은 고딕" w:eastAsia="맑은 고딕"/>
          <w:color w:val="1F4E79"/>
          <w:sz w:val="18"/>
        </w:rPr>
        <w:t>https://energiize.org/wp-content/uploads/2025/09/6-06-2022-Permitting-H2.pdf</w:t>
      </w:r>
    </w:p>
    <w:p>
      <w:pPr>
        <w:spacing w:after="60"/>
        <w:ind w:left="454" w:hanging="454"/>
      </w:pPr>
      <w:r>
        <w:rPr>
          <w:rFonts w:ascii="맑은 고딕" w:hAnsi="맑은 고딕" w:eastAsia="맑은 고딕"/>
          <w:sz w:val="19"/>
        </w:rPr>
        <w:t>[6] 캘리포니아 CEQAnet, Iwatani 수소충전소 사례 (문서번호 2021060125)</w:t>
      </w:r>
      <w:r>
        <w:br/>
      </w:r>
      <w:r>
        <w:rPr>
          <w:rFonts w:ascii="맑은 고딕" w:hAnsi="맑은 고딕" w:eastAsia="맑은 고딕"/>
          <w:color w:val="1F4E79"/>
          <w:sz w:val="18"/>
        </w:rPr>
        <w:t>https://ceqanet.lci.ca.gov/2021060125</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