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DefaultParagraphFont"/>
        </w:rPr>
        <w:t xml:space="preserve">LISTADO DE ALUMNOS </w:t>
      </w:r>
      <w:r>
        <w:rPr>
          <w:rStyle w:val="DefaultParagraphFont"/>
          <w:sz w:val="44"/>
        </w:rPr>
        <w:t>2012</w:t>
      </w:r>
    </w:p>
    <w:p/>
    <w:p/>
    <w:p/>
    <w:p/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rPr>
                <w:rStyle w:val="DefaultParagraphFont"/>
                <w:b/>
                <w:sz w:val="20"/>
              </w:rPr>
              <w:t>ALUMNO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b/>
                <w:sz w:val="20"/>
              </w:rPr>
              <w:t>NACIONALIDAD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b/>
                <w:sz w:val="20"/>
              </w:rPr>
              <w:t>ENTIDAD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1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México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Univ. Aut. de Chapingo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2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3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Maersk Spain S.L.U.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4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Argentina</w:t>
            </w:r>
          </w:p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5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Sakata Seeds Ibérica S.L.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6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7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IFAPA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8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Verdifresh S.L.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9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Fund. Parque Cient. Tecnol. Aula Dei ‐ CSIC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10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Primaflor S.A.T.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11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Frutas Esther S.A.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12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Portugal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Univ. do Algarve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13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ADESVA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14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Daniela Mota Segantini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Brasil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15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16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Elba González Aguayo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México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Univ. Aut. de Zacatecas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17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México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INIFAP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18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Gregal S.C.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19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Gregal S.C.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20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C.I.C. Oficina Técnica de Ingeniería S.L.U.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21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Primaflor S.A.T.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22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Gregal S.C.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23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Holanda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NSURE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24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Brasil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Survey Pericias Ltda.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25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Portugal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Esc. Sup. Agr. de Santarém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26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Adesva‐Centro Tecnológico de la Agroindustria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27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Decco Iberica Post Cosecha S.A.U.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28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Primaflor S.A.T.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29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Toñifruit S.L.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30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Colombia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Ocati Tropical Fruits S.A.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31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Costa Rica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32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Colombia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33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Univ. de Extremadura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34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Lenice Magali do Nascimento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Brasil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Inst. Agron. de Campinas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35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Colombia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36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Univ. de Almería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37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CITROSOL S.A.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38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39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Brasil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40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México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Univ. de Chapingo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41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Brasil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42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Holanda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Nsure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43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SACOJE S.C.A.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44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Verdifresh S.L.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45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</w:t>
            </w:r>
            <w:r>
              <w:rPr>
                <w:rStyle w:val="DefaultParagraphFont"/>
                <w:sz w:val="20"/>
              </w:rPr>
              <w:t xml:space="preserve"> </w:t>
            </w:r>
            <w:r>
              <w:rPr>
                <w:rStyle w:val="DefaultParagraphFont"/>
                <w:b/>
                <w:sz w:val="20"/>
              </w:rPr>
              <w:t>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G’s España Holdings, S.L.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46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47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Frutas Esther S.A.</w:t>
            </w:r>
          </w:p>
        </w:tc>
      </w:tr>
    </w:tbl>
    <w:p/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48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María de Fátima Lopes da Silva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Portugal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Instituto Politécnico de Bragança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49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María del Carmen Fuentes Pérez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 xml:space="preserve">GPEX, </w:t>
            </w:r>
            <w:r>
              <w:rPr>
                <w:rStyle w:val="DefaultParagraphFont"/>
                <w:b/>
                <w:sz w:val="20"/>
              </w:rPr>
              <w:t>***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50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51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52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CITROSOL S.A.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53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Univ. de Cádiz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54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IBV‐UPCT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55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Fund. Parque Cient. Tecnol. Aula Dei CSIC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56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Univ. de Murcia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57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Italia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NSURE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58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IFAPA Centro La Mojonera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59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Noelia Real Giménez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60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Portugal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Univ. de Algarve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61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</w:t>
            </w:r>
            <w:r>
              <w:rPr>
                <w:rStyle w:val="DefaultParagraphFont"/>
                <w:sz w:val="20"/>
              </w:rPr>
              <w:t xml:space="preserve"> de </w:t>
            </w:r>
            <w:r>
              <w:rPr>
                <w:rStyle w:val="DefaultParagraphFont"/>
                <w:b/>
                <w:sz w:val="20"/>
              </w:rPr>
              <w:t>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G’s España Holdings, S.L.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62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63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CITROSOL S.A.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64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LMAR Infraestructuras S.L.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65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Verdifresh S.L.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66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67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Túnez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68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INTAEX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69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TECNIDEX S.A.U.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70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Decco Iberica Post Cosecha S.A.U.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71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Sweetia Paulina Ramírez Ramírez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México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Univ. Aut. de Chapingo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72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TECNIDEX S.A.U.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73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Verdifresh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74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TECNIDEX S.A.U.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