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lanTitle"/>
        <w:jc w:val="left"/>
      </w:pPr>
      <w:r>
        <w:t>Algeria Project Migration Plan</w:t>
      </w:r>
    </w:p>
    <w:p>
      <w:pPr>
        <w:spacing w:before="0" w:after="240" w:line="276" w:lineRule="auto"/>
      </w:pPr>
      <w:r>
        <w:rPr>
          <w:rFonts w:ascii="Calibri" w:hAnsi="Calibri"/>
          <w:color w:val="667085"/>
          <w:sz w:val="20"/>
        </w:rPr>
        <w:t>English Version</w:t>
      </w:r>
    </w:p>
    <w:p>
      <w:pPr>
        <w:pStyle w:val="Heading1"/>
      </w:pPr>
      <w:r>
        <w:t>1. Migration Objectives</w:t>
      </w:r>
    </w:p>
    <w:p>
      <w:r>
        <w:rPr>
          <w:rFonts w:ascii="Calibri" w:hAnsi="Calibri"/>
          <w:sz w:val="22"/>
        </w:rPr>
        <w:t>The objective of this migration is to move the Algeria project smoothly from the existing environment to the new high-availability environment. The work includes database and MinIO data migration, HA deployment of application services, and verification of the currently enabled DNS entry. The old environment will be retained during the observation period as an emergency safeguard.</w:t>
      </w:r>
    </w:p>
    <w:p>
      <w:pPr>
        <w:pStyle w:val="SectionLabel"/>
      </w:pPr>
      <w:r>
        <w:rPr>
          <w:rFonts w:ascii="Calibri" w:hAnsi="Calibri"/>
          <w:sz w:val="22"/>
        </w:rPr>
        <w:t>Core objectives:</w:t>
      </w:r>
    </w:p>
    <w:p>
      <w:pPr>
        <w:numPr>
          <w:ilvl w:val="0"/>
          <w:numId w:val="10"/>
        </w:numPr>
        <w:spacing w:before="0" w:after="80" w:line="300" w:lineRule="auto"/>
      </w:pPr>
      <w:r>
        <w:rPr>
          <w:rFonts w:ascii="Calibri" w:hAnsi="Calibri"/>
          <w:sz w:val="22"/>
        </w:rPr>
        <w:t>Ensure database and MinIO data can be fully restored.</w:t>
      </w:r>
    </w:p>
    <w:p>
      <w:pPr>
        <w:numPr>
          <w:ilvl w:val="0"/>
          <w:numId w:val="10"/>
        </w:numPr>
        <w:spacing w:before="0" w:after="80" w:line="300" w:lineRule="auto"/>
      </w:pPr>
      <w:r>
        <w:rPr>
          <w:rFonts w:ascii="Calibri" w:hAnsi="Calibri"/>
          <w:sz w:val="22"/>
        </w:rPr>
        <w:t>Build disaster recovery capability in the new environment and avoid HA single points of failure.</w:t>
      </w:r>
    </w:p>
    <w:p>
      <w:pPr>
        <w:numPr>
          <w:ilvl w:val="0"/>
          <w:numId w:val="10"/>
        </w:numPr>
        <w:spacing w:before="0" w:after="80" w:line="300" w:lineRule="auto"/>
      </w:pPr>
      <w:r>
        <w:rPr>
          <w:rFonts w:ascii="Calibri" w:hAnsi="Calibri"/>
          <w:sz w:val="22"/>
        </w:rPr>
        <w:t>During migration, focus on verifying DNS resolution and entry connectivity because the customer is already using the new DNS entry.</w:t>
      </w:r>
    </w:p>
    <w:p>
      <w:pPr>
        <w:numPr>
          <w:ilvl w:val="0"/>
          <w:numId w:val="10"/>
        </w:numPr>
        <w:spacing w:before="0" w:after="80" w:line="300" w:lineRule="auto"/>
      </w:pPr>
      <w:r>
        <w:rPr>
          <w:rFonts w:ascii="Calibri" w:hAnsi="Calibri"/>
          <w:sz w:val="22"/>
        </w:rPr>
        <w:t>Retain the old environment during the observation period and do not release it on migration day.</w:t>
      </w:r>
    </w:p>
    <w:p>
      <w:pPr>
        <w:pStyle w:val="Heading1"/>
      </w:pPr>
      <w:r>
        <w:t>2. Timeline</w:t>
      </w:r>
    </w:p>
    <w:p>
      <w:r>
        <w:rPr>
          <w:rFonts w:ascii="Calibri" w:hAnsi="Calibri"/>
          <w:sz w:val="22"/>
        </w:rPr>
        <w:t>After arrival onsite, once server resources, network policies, and access permissions are ready, the new-version HA migration will be executed. The expected completion window is 24 hours.</w:t>
      </w:r>
    </w:p>
    <w:p>
      <w:pPr>
        <w:pStyle w:val="SectionLabel"/>
      </w:pPr>
      <w:r>
        <w:rPr>
          <w:rFonts w:ascii="Calibri" w:hAnsi="Calibri"/>
          <w:sz w:val="22"/>
        </w:rPr>
        <w:t>Planned sequence:</w:t>
      </w:r>
    </w:p>
    <w:p>
      <w:pPr>
        <w:numPr>
          <w:ilvl w:val="0"/>
          <w:numId w:val="10"/>
        </w:numPr>
        <w:spacing w:before="0" w:after="80" w:line="300" w:lineRule="auto"/>
      </w:pPr>
      <w:r>
        <w:rPr>
          <w:rFonts w:ascii="Calibri" w:hAnsi="Calibri"/>
          <w:sz w:val="22"/>
        </w:rPr>
        <w:t>Check baseline conditions, including servers, network, disks, DNS, and certificates.</w:t>
      </w:r>
    </w:p>
    <w:p>
      <w:pPr>
        <w:numPr>
          <w:ilvl w:val="0"/>
          <w:numId w:val="10"/>
        </w:numPr>
        <w:spacing w:before="0" w:after="80" w:line="300" w:lineRule="auto"/>
      </w:pPr>
      <w:r>
        <w:rPr>
          <w:rFonts w:ascii="Calibri" w:hAnsi="Calibri"/>
          <w:sz w:val="22"/>
        </w:rPr>
        <w:t>Perform pre-migration backup for the database and MinIO.</w:t>
      </w:r>
    </w:p>
    <w:p>
      <w:pPr>
        <w:numPr>
          <w:ilvl w:val="0"/>
          <w:numId w:val="10"/>
        </w:numPr>
        <w:spacing w:before="0" w:after="80" w:line="300" w:lineRule="auto"/>
      </w:pPr>
      <w:r>
        <w:rPr>
          <w:rFonts w:ascii="Calibri" w:hAnsi="Calibri"/>
          <w:sz w:val="22"/>
        </w:rPr>
        <w:t>Deploy the new-version HA environment.</w:t>
      </w:r>
    </w:p>
    <w:p>
      <w:pPr>
        <w:numPr>
          <w:ilvl w:val="0"/>
          <w:numId w:val="10"/>
        </w:numPr>
        <w:spacing w:before="0" w:after="80" w:line="300" w:lineRule="auto"/>
      </w:pPr>
      <w:r>
        <w:rPr>
          <w:rFonts w:ascii="Calibri" w:hAnsi="Calibri"/>
          <w:sz w:val="22"/>
        </w:rPr>
        <w:t>Restore database and MinIO data.</w:t>
      </w:r>
    </w:p>
    <w:p>
      <w:pPr>
        <w:numPr>
          <w:ilvl w:val="0"/>
          <w:numId w:val="10"/>
        </w:numPr>
        <w:spacing w:before="0" w:after="80" w:line="300" w:lineRule="auto"/>
      </w:pPr>
      <w:r>
        <w:rPr>
          <w:rFonts w:ascii="Calibri" w:hAnsi="Calibri"/>
          <w:sz w:val="22"/>
        </w:rPr>
        <w:t>Run business verification, DNS entry verification, and post-migration observation.</w:t>
      </w:r>
    </w:p>
    <w:p>
      <w:pPr>
        <w:pStyle w:val="Heading1"/>
      </w:pPr>
      <w:r>
        <w:t>3. Server Resource Planning</w:t>
      </w:r>
    </w:p>
    <w:p>
      <w:r>
        <w:rPr>
          <w:rFonts w:ascii="Calibri" w:hAnsi="Calibri"/>
          <w:sz w:val="22"/>
        </w:rPr>
        <w:t>The following resources are the minimum requirement for completing the HA environment. After the new HA deployment and business verification are complete, the old environment will remain in observation first. After the observation period and customer acceptance are complete, old server resources can be released gradually and business services can be scaled onto the new HA resources. The quorum node should not be deployed in either business data center; the remaining nodes should be evenly distributed across the two data centers. The new environment is generated by consolidating resources from the old environment; old environment resources can be reduced by approximately half after validation.</w:t>
      </w:r>
    </w:p>
    <w:tbl>
      <w:tblPr>
        <w:tblW w:type="dxa" w:w="9360"/>
        <w:jc w:val="left"/>
        <w:tblLayout w:type="fixed"/>
        <w:tblLook w:firstColumn="1" w:firstRow="1" w:lastColumn="0" w:lastRow="0" w:noHBand="0" w:noVBand="1" w:val="04A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CellMar>
          <w:top w:w="80" w:type="dxa"/>
          <w:bottom w:w="80" w:type="dxa"/>
          <w:start w:w="120" w:type="dxa"/>
          <w:end w:w="120" w:type="dxa"/>
        </w:tblCellMar>
      </w:tblPr>
      <w:tblGrid>
        <w:gridCol w:w="1900"/>
        <w:gridCol w:w="1000"/>
        <w:gridCol w:w="3260"/>
        <w:gridCol w:w="3200"/>
      </w:tblGrid>
      <w:tr>
        <w:tc>
          <w:tcPr>
            <w:tcW w:type="dxa" w:w="1900"/>
            <w:vAlign w:val="center"/>
            <w:shd w:fill="E8EEF5"/>
          </w:tcPr>
          <w:p>
            <w:pPr>
              <w:spacing w:before="0" w:after="0" w:line="276" w:lineRule="auto"/>
            </w:pPr>
            <w:r/>
            <w:r>
              <w:rPr>
                <w:rFonts w:ascii="Calibri" w:hAnsi="Calibri"/>
                <w:b/>
                <w:color w:val="0B2545"/>
                <w:sz w:val="19"/>
              </w:rPr>
              <w:t>Role</w:t>
            </w:r>
          </w:p>
        </w:tc>
        <w:tc>
          <w:tcPr>
            <w:tcW w:type="dxa" w:w="1000"/>
            <w:vAlign w:val="center"/>
            <w:shd w:fill="E8EEF5"/>
          </w:tcPr>
          <w:p>
            <w:pPr>
              <w:spacing w:before="0" w:after="0" w:line="276" w:lineRule="auto"/>
            </w:pPr>
            <w:r/>
            <w:r>
              <w:rPr>
                <w:rFonts w:ascii="Calibri" w:hAnsi="Calibri"/>
                <w:b/>
                <w:color w:val="0B2545"/>
                <w:sz w:val="19"/>
              </w:rPr>
              <w:t>Quantity</w:t>
            </w:r>
          </w:p>
        </w:tc>
        <w:tc>
          <w:tcPr>
            <w:tcW w:type="dxa" w:w="3260"/>
            <w:vAlign w:val="center"/>
            <w:shd w:fill="E8EEF5"/>
          </w:tcPr>
          <w:p>
            <w:pPr>
              <w:spacing w:before="0" w:after="0" w:line="276" w:lineRule="auto"/>
            </w:pPr>
            <w:r/>
            <w:r>
              <w:rPr>
                <w:rFonts w:ascii="Calibri" w:hAnsi="Calibri"/>
                <w:b/>
                <w:color w:val="0B2545"/>
                <w:sz w:val="19"/>
              </w:rPr>
              <w:t>Recommended Configuration</w:t>
            </w:r>
          </w:p>
        </w:tc>
        <w:tc>
          <w:tcPr>
            <w:tcW w:type="dxa" w:w="3200"/>
            <w:vAlign w:val="center"/>
            <w:shd w:fill="E8EEF5"/>
          </w:tcPr>
          <w:p>
            <w:pPr>
              <w:spacing w:before="0" w:after="0" w:line="276" w:lineRule="auto"/>
            </w:pPr>
            <w:r/>
            <w:r>
              <w:rPr>
                <w:rFonts w:ascii="Calibri" w:hAnsi="Calibri"/>
                <w:b/>
                <w:color w:val="0B2545"/>
                <w:sz w:val="19"/>
              </w:rPr>
              <w:t>Main Purpose</w:t>
            </w:r>
          </w:p>
        </w:tc>
      </w:tr>
      <w:tr>
        <w:tc>
          <w:tcPr>
            <w:tcW w:type="dxa" w:w="1900"/>
            <w:vAlign w:val="center"/>
          </w:tcPr>
          <w:p>
            <w:pPr>
              <w:spacing w:before="0" w:after="0" w:line="276" w:lineRule="auto"/>
            </w:pPr>
            <w:r/>
            <w:r>
              <w:rPr>
                <w:rFonts w:ascii="Calibri" w:hAnsi="Calibri"/>
                <w:b w:val="0"/>
                <w:sz w:val="19"/>
              </w:rPr>
              <w:t>Quorum node</w:t>
            </w:r>
          </w:p>
        </w:tc>
        <w:tc>
          <w:tcPr>
            <w:tcW w:type="dxa" w:w="1000"/>
            <w:vAlign w:val="center"/>
          </w:tcPr>
          <w:p>
            <w:pPr>
              <w:spacing w:before="0" w:after="0" w:line="276" w:lineRule="auto"/>
            </w:pPr>
            <w:r/>
            <w:r>
              <w:rPr>
                <w:rFonts w:ascii="Calibri" w:hAnsi="Calibri"/>
                <w:b w:val="0"/>
                <w:sz w:val="19"/>
              </w:rPr>
              <w:t>1 node</w:t>
            </w:r>
          </w:p>
        </w:tc>
        <w:tc>
          <w:tcPr>
            <w:tcW w:type="dxa" w:w="3260"/>
            <w:vAlign w:val="center"/>
          </w:tcPr>
          <w:p>
            <w:pPr>
              <w:spacing w:before="0" w:after="0" w:line="276" w:lineRule="auto"/>
            </w:pPr>
            <w:r/>
            <w:r>
              <w:rPr>
                <w:rFonts w:ascii="Calibri" w:hAnsi="Calibri"/>
                <w:b w:val="0"/>
                <w:sz w:val="19"/>
              </w:rPr>
              <w:t>8C / 16G / 100G (60G system disk + 40G data disk)</w:t>
            </w:r>
          </w:p>
        </w:tc>
        <w:tc>
          <w:tcPr>
            <w:tcW w:type="dxa" w:w="3200"/>
            <w:vAlign w:val="center"/>
          </w:tcPr>
          <w:p>
            <w:pPr>
              <w:spacing w:before="0" w:after="0" w:line="276" w:lineRule="auto"/>
            </w:pPr>
            <w:r/>
            <w:r>
              <w:rPr>
                <w:rFonts w:ascii="Calibri" w:hAnsi="Calibri"/>
                <w:b w:val="0"/>
                <w:sz w:val="19"/>
              </w:rPr>
              <w:t>Third-party arbitration/quorum</w:t>
            </w:r>
          </w:p>
        </w:tc>
      </w:tr>
      <w:tr>
        <w:tc>
          <w:tcPr>
            <w:tcW w:type="dxa" w:w="1900"/>
            <w:vAlign w:val="center"/>
          </w:tcPr>
          <w:p>
            <w:pPr>
              <w:spacing w:before="0" w:after="0" w:line="276" w:lineRule="auto"/>
            </w:pPr>
            <w:r/>
            <w:r>
              <w:rPr>
                <w:rFonts w:ascii="Calibri" w:hAnsi="Calibri"/>
                <w:b w:val="0"/>
                <w:sz w:val="19"/>
              </w:rPr>
              <w:t>Service application nodes</w:t>
            </w:r>
          </w:p>
        </w:tc>
        <w:tc>
          <w:tcPr>
            <w:tcW w:type="dxa" w:w="1000"/>
            <w:vAlign w:val="center"/>
          </w:tcPr>
          <w:p>
            <w:pPr>
              <w:spacing w:before="0" w:after="0" w:line="276" w:lineRule="auto"/>
            </w:pPr>
            <w:r/>
            <w:r>
              <w:rPr>
                <w:rFonts w:ascii="Calibri" w:hAnsi="Calibri"/>
                <w:b w:val="0"/>
                <w:sz w:val="19"/>
              </w:rPr>
              <w:t>2 nodes</w:t>
            </w:r>
          </w:p>
        </w:tc>
        <w:tc>
          <w:tcPr>
            <w:tcW w:type="dxa" w:w="3260"/>
            <w:vAlign w:val="center"/>
          </w:tcPr>
          <w:p>
            <w:pPr>
              <w:spacing w:before="0" w:after="0" w:line="276" w:lineRule="auto"/>
            </w:pPr>
            <w:r/>
            <w:r>
              <w:rPr>
                <w:rFonts w:ascii="Calibri" w:hAnsi="Calibri"/>
                <w:b w:val="0"/>
                <w:sz w:val="19"/>
              </w:rPr>
              <w:t>8C / 16G / 100G (60G system disk + 40G data disk)</w:t>
            </w:r>
          </w:p>
        </w:tc>
        <w:tc>
          <w:tcPr>
            <w:tcW w:type="dxa" w:w="3200"/>
            <w:vAlign w:val="center"/>
          </w:tcPr>
          <w:p>
            <w:pPr>
              <w:spacing w:before="0" w:after="0" w:line="276" w:lineRule="auto"/>
            </w:pPr>
            <w:r/>
            <w:r>
              <w:rPr>
                <w:rFonts w:ascii="Calibri" w:hAnsi="Calibri"/>
                <w:b w:val="0"/>
                <w:sz w:val="19"/>
              </w:rPr>
              <w:t>Service application cluster</w:t>
            </w:r>
          </w:p>
        </w:tc>
      </w:tr>
      <w:tr>
        <w:tc>
          <w:tcPr>
            <w:tcW w:type="dxa" w:w="1900"/>
            <w:vAlign w:val="center"/>
          </w:tcPr>
          <w:p>
            <w:pPr>
              <w:spacing w:before="0" w:after="0" w:line="276" w:lineRule="auto"/>
            </w:pPr>
            <w:r/>
            <w:r>
              <w:rPr>
                <w:rFonts w:ascii="Calibri" w:hAnsi="Calibri"/>
                <w:b w:val="0"/>
                <w:sz w:val="19"/>
              </w:rPr>
              <w:t>MySQL / MinIO / Redis nodes</w:t>
            </w:r>
          </w:p>
        </w:tc>
        <w:tc>
          <w:tcPr>
            <w:tcW w:type="dxa" w:w="1000"/>
            <w:vAlign w:val="center"/>
          </w:tcPr>
          <w:p>
            <w:pPr>
              <w:spacing w:before="0" w:after="0" w:line="276" w:lineRule="auto"/>
            </w:pPr>
            <w:r/>
            <w:r>
              <w:rPr>
                <w:rFonts w:ascii="Calibri" w:hAnsi="Calibri"/>
                <w:b w:val="0"/>
                <w:sz w:val="19"/>
              </w:rPr>
              <w:t>2 nodes</w:t>
            </w:r>
          </w:p>
        </w:tc>
        <w:tc>
          <w:tcPr>
            <w:tcW w:type="dxa" w:w="3260"/>
            <w:vAlign w:val="center"/>
          </w:tcPr>
          <w:p>
            <w:pPr>
              <w:spacing w:before="0" w:after="0" w:line="276" w:lineRule="auto"/>
            </w:pPr>
            <w:r/>
            <w:r>
              <w:rPr>
                <w:rFonts w:ascii="Calibri" w:hAnsi="Calibri"/>
                <w:b w:val="0"/>
                <w:sz w:val="19"/>
              </w:rPr>
              <w:t>8C / 16G / 460G (60G system disk + 4 x 100G data disks)</w:t>
            </w:r>
          </w:p>
        </w:tc>
        <w:tc>
          <w:tcPr>
            <w:tcW w:type="dxa" w:w="3200"/>
            <w:vAlign w:val="center"/>
          </w:tcPr>
          <w:p>
            <w:pPr>
              <w:spacing w:before="0" w:after="0" w:line="276" w:lineRule="auto"/>
            </w:pPr>
            <w:r/>
            <w:r>
              <w:rPr>
                <w:rFonts w:ascii="Calibri" w:hAnsi="Calibri"/>
                <w:b w:val="0"/>
                <w:sz w:val="19"/>
              </w:rPr>
              <w:t>MySQL/Redis HA; MinIO dual standalone nodes with bucket replication</w:t>
            </w:r>
          </w:p>
        </w:tc>
      </w:tr>
      <w:tr>
        <w:tc>
          <w:tcPr>
            <w:tcW w:type="dxa" w:w="1900"/>
            <w:vAlign w:val="center"/>
          </w:tcPr>
          <w:p>
            <w:pPr>
              <w:spacing w:before="0" w:after="0" w:line="276" w:lineRule="auto"/>
            </w:pPr>
            <w:r/>
            <w:r>
              <w:rPr>
                <w:rFonts w:ascii="Calibri" w:hAnsi="Calibri"/>
                <w:b w:val="0"/>
                <w:sz w:val="19"/>
              </w:rPr>
              <w:t>IM application nodes</w:t>
            </w:r>
          </w:p>
        </w:tc>
        <w:tc>
          <w:tcPr>
            <w:tcW w:type="dxa" w:w="1000"/>
            <w:vAlign w:val="center"/>
          </w:tcPr>
          <w:p>
            <w:pPr>
              <w:spacing w:before="0" w:after="0" w:line="276" w:lineRule="auto"/>
            </w:pPr>
            <w:r/>
            <w:r>
              <w:rPr>
                <w:rFonts w:ascii="Calibri" w:hAnsi="Calibri"/>
                <w:b w:val="0"/>
                <w:sz w:val="19"/>
              </w:rPr>
              <w:t>4 nodes</w:t>
            </w:r>
          </w:p>
        </w:tc>
        <w:tc>
          <w:tcPr>
            <w:tcW w:type="dxa" w:w="3260"/>
            <w:vAlign w:val="center"/>
          </w:tcPr>
          <w:p>
            <w:pPr>
              <w:spacing w:before="0" w:after="0" w:line="276" w:lineRule="auto"/>
            </w:pPr>
            <w:r/>
            <w:r>
              <w:rPr>
                <w:rFonts w:ascii="Calibri" w:hAnsi="Calibri"/>
                <w:b w:val="0"/>
                <w:sz w:val="19"/>
              </w:rPr>
              <w:t>8C / 16G / 460G (60G system disk + 4 x 100G data disks)</w:t>
            </w:r>
          </w:p>
        </w:tc>
        <w:tc>
          <w:tcPr>
            <w:tcW w:type="dxa" w:w="3200"/>
            <w:vAlign w:val="center"/>
          </w:tcPr>
          <w:p>
            <w:pPr>
              <w:spacing w:before="0" w:after="0" w:line="276" w:lineRule="auto"/>
            </w:pPr>
            <w:r/>
            <w:r>
              <w:rPr>
                <w:rFonts w:ascii="Calibri" w:hAnsi="Calibri"/>
                <w:b w:val="0"/>
                <w:sz w:val="19"/>
              </w:rPr>
              <w:t>IM application cluster</w:t>
            </w:r>
          </w:p>
        </w:tc>
      </w:tr>
      <w:tr>
        <w:tc>
          <w:tcPr>
            <w:tcW w:type="dxa" w:w="1900"/>
            <w:vAlign w:val="center"/>
          </w:tcPr>
          <w:p>
            <w:pPr>
              <w:spacing w:before="0" w:after="0" w:line="276" w:lineRule="auto"/>
            </w:pPr>
            <w:r/>
            <w:r>
              <w:rPr>
                <w:rFonts w:ascii="Calibri" w:hAnsi="Calibri"/>
                <w:b w:val="0"/>
                <w:sz w:val="19"/>
              </w:rPr>
              <w:t>Total</w:t>
            </w:r>
          </w:p>
        </w:tc>
        <w:tc>
          <w:tcPr>
            <w:tcW w:type="dxa" w:w="1000"/>
            <w:vAlign w:val="center"/>
          </w:tcPr>
          <w:p>
            <w:pPr>
              <w:spacing w:before="0" w:after="0" w:line="276" w:lineRule="auto"/>
            </w:pPr>
            <w:r/>
            <w:r>
              <w:rPr>
                <w:rFonts w:ascii="Calibri" w:hAnsi="Calibri"/>
                <w:b w:val="0"/>
                <w:sz w:val="19"/>
              </w:rPr>
              <w:t>9 nodes</w:t>
            </w:r>
          </w:p>
        </w:tc>
        <w:tc>
          <w:tcPr>
            <w:tcW w:type="dxa" w:w="3260"/>
            <w:vAlign w:val="center"/>
          </w:tcPr>
          <w:p>
            <w:pPr>
              <w:spacing w:before="0" w:after="0" w:line="276" w:lineRule="auto"/>
            </w:pPr>
            <w:r/>
            <w:r>
              <w:rPr>
                <w:rFonts w:ascii="Calibri" w:hAnsi="Calibri"/>
                <w:b w:val="0"/>
                <w:sz w:val="19"/>
              </w:rPr>
              <w:t>72C / 144GB / 3060G</w:t>
            </w:r>
          </w:p>
        </w:tc>
        <w:tc>
          <w:tcPr>
            <w:tcW w:type="dxa" w:w="3200"/>
            <w:vAlign w:val="center"/>
          </w:tcPr>
          <w:p>
            <w:pPr>
              <w:spacing w:before="0" w:after="0" w:line="276" w:lineRule="auto"/>
            </w:pPr>
            <w:r/>
            <w:r>
              <w:rPr>
                <w:rFonts w:ascii="Calibri" w:hAnsi="Calibri"/>
                <w:b w:val="0"/>
                <w:sz w:val="19"/>
              </w:rPr>
              <w:t>Approx. 3.06TB storage</w:t>
            </w:r>
          </w:p>
        </w:tc>
      </w:tr>
    </w:tbl>
    <w:p>
      <w:pPr>
        <w:spacing w:before="0" w:after="120" w:line="300" w:lineRule="auto"/>
      </w:pPr>
    </w:p>
    <w:p>
      <w:pPr>
        <w:pStyle w:val="Heading1"/>
      </w:pPr>
      <w:r>
        <w:t>4. Database Backup Plan</w:t>
      </w:r>
    </w:p>
    <w:p>
      <w:pPr>
        <w:pStyle w:val="SectionLabel"/>
      </w:pPr>
      <w:r>
        <w:rPr>
          <w:rFonts w:ascii="Calibri" w:hAnsi="Calibri"/>
          <w:sz w:val="22"/>
        </w:rPr>
        <w:t>Steps:</w:t>
      </w:r>
    </w:p>
    <w:p>
      <w:pPr>
        <w:numPr>
          <w:ilvl w:val="0"/>
          <w:numId w:val="10"/>
        </w:numPr>
        <w:spacing w:before="0" w:after="80" w:line="300" w:lineRule="auto"/>
      </w:pPr>
      <w:r>
        <w:rPr>
          <w:rFonts w:ascii="Calibri" w:hAnsi="Calibri"/>
          <w:sz w:val="22"/>
        </w:rPr>
        <w:t>Perform a full backup before migration.</w:t>
      </w:r>
    </w:p>
    <w:p>
      <w:pPr>
        <w:numPr>
          <w:ilvl w:val="0"/>
          <w:numId w:val="10"/>
        </w:numPr>
        <w:spacing w:before="0" w:after="80" w:line="300" w:lineRule="auto"/>
      </w:pPr>
      <w:r>
        <w:rPr>
          <w:rFonts w:ascii="Calibri" w:hAnsi="Calibri"/>
          <w:sz w:val="22"/>
        </w:rPr>
        <w:t>Copy backup files to backup storage and to the new environment.</w:t>
      </w:r>
    </w:p>
    <w:p>
      <w:pPr>
        <w:numPr>
          <w:ilvl w:val="0"/>
          <w:numId w:val="10"/>
        </w:numPr>
        <w:spacing w:before="0" w:after="80" w:line="300" w:lineRule="auto"/>
      </w:pPr>
      <w:r>
        <w:rPr>
          <w:rFonts w:ascii="Calibri" w:hAnsi="Calibri"/>
          <w:sz w:val="22"/>
        </w:rPr>
        <w:t>Run a restore rehearsal in the new environment to confirm restore duration and data integrity.</w:t>
      </w:r>
    </w:p>
    <w:p>
      <w:pPr>
        <w:numPr>
          <w:ilvl w:val="0"/>
          <w:numId w:val="10"/>
        </w:numPr>
        <w:spacing w:before="0" w:after="80" w:line="300" w:lineRule="auto"/>
      </w:pPr>
      <w:r>
        <w:rPr>
          <w:rFonts w:ascii="Calibri" w:hAnsi="Calibri"/>
          <w:sz w:val="22"/>
        </w:rPr>
        <w:t>Before formal migration, enter the maintenance or write-freeze window and perform the final backup or incremental synchronization.</w:t>
      </w:r>
    </w:p>
    <w:p>
      <w:pPr>
        <w:numPr>
          <w:ilvl w:val="0"/>
          <w:numId w:val="10"/>
        </w:numPr>
        <w:spacing w:before="0" w:after="80" w:line="300" w:lineRule="auto"/>
      </w:pPr>
      <w:r>
        <w:rPr>
          <w:rFonts w:ascii="Calibri" w:hAnsi="Calibri"/>
          <w:sz w:val="22"/>
        </w:rPr>
        <w:t>After data restore, verify core tables, key data volumes, and business connectivity.</w:t>
      </w:r>
    </w:p>
    <w:p>
      <w:pPr>
        <w:pStyle w:val="Heading1"/>
      </w:pPr>
      <w:r>
        <w:t>5. MinIO Backup Plan</w:t>
      </w:r>
    </w:p>
    <w:p>
      <w:pPr>
        <w:pStyle w:val="SectionLabel"/>
      </w:pPr>
      <w:r>
        <w:rPr>
          <w:rFonts w:ascii="Calibri" w:hAnsi="Calibri"/>
          <w:sz w:val="22"/>
        </w:rPr>
        <w:t>Steps:</w:t>
      </w:r>
    </w:p>
    <w:p>
      <w:pPr>
        <w:numPr>
          <w:ilvl w:val="0"/>
          <w:numId w:val="10"/>
        </w:numPr>
        <w:spacing w:before="0" w:after="80" w:line="300" w:lineRule="auto"/>
      </w:pPr>
      <w:r>
        <w:rPr>
          <w:rFonts w:ascii="Calibri" w:hAnsi="Calibri"/>
          <w:sz w:val="22"/>
        </w:rPr>
        <w:t>Inventory buckets, object counts, total capacity, users, policies, access keys, lifecycle rules, and replication policies.</w:t>
      </w:r>
    </w:p>
    <w:p>
      <w:pPr>
        <w:numPr>
          <w:ilvl w:val="0"/>
          <w:numId w:val="10"/>
        </w:numPr>
        <w:spacing w:before="0" w:after="80" w:line="300" w:lineRule="auto"/>
      </w:pPr>
      <w:r>
        <w:rPr>
          <w:rFonts w:ascii="Calibri" w:hAnsi="Calibri"/>
          <w:sz w:val="22"/>
        </w:rPr>
        <w:t>Run object backup or mc mirror synchronization from the primary write MinIO, and verify whether the replicated data on the standby node is consistent.</w:t>
      </w:r>
    </w:p>
    <w:p>
      <w:pPr>
        <w:numPr>
          <w:ilvl w:val="0"/>
          <w:numId w:val="10"/>
        </w:numPr>
        <w:spacing w:before="0" w:after="80" w:line="300" w:lineRule="auto"/>
      </w:pPr>
      <w:r>
        <w:rPr>
          <w:rFonts w:ascii="Calibri" w:hAnsi="Calibri"/>
          <w:sz w:val="22"/>
        </w:rPr>
        <w:t>Export and record metadata such as bucket policies, user policies, and access permissions.</w:t>
      </w:r>
    </w:p>
    <w:p>
      <w:pPr>
        <w:numPr>
          <w:ilvl w:val="0"/>
          <w:numId w:val="10"/>
        </w:numPr>
        <w:spacing w:before="0" w:after="80" w:line="300" w:lineRule="auto"/>
      </w:pPr>
      <w:r>
        <w:rPr>
          <w:rFonts w:ascii="Calibri" w:hAnsi="Calibri"/>
          <w:sz w:val="22"/>
        </w:rPr>
        <w:t>Sample-check object size, ETag or hash, and business read results.</w:t>
      </w:r>
    </w:p>
    <w:p>
      <w:pPr>
        <w:numPr>
          <w:ilvl w:val="0"/>
          <w:numId w:val="10"/>
        </w:numPr>
        <w:spacing w:before="0" w:after="80" w:line="300" w:lineRule="auto"/>
      </w:pPr>
      <w:r>
        <w:rPr>
          <w:rFonts w:ascii="Calibri" w:hAnsi="Calibri"/>
          <w:sz w:val="22"/>
        </w:rPr>
        <w:t>Record pre-synchronization duration, remaining incremental data size, and replication lag.</w:t>
      </w:r>
    </w:p>
    <w:p>
      <w:pPr>
        <w:pStyle w:val="Heading1"/>
      </w:pPr>
      <w:r>
        <w:t>6. New HA Environment Deployment</w:t>
      </w:r>
    </w:p>
    <w:p>
      <w:pPr>
        <w:pStyle w:val="Heading2"/>
      </w:pPr>
      <w:r>
        <w:t>6.1 Baseline Environment Deployment</w:t>
      </w:r>
    </w:p>
    <w:p>
      <w:pPr>
        <w:numPr>
          <w:ilvl w:val="0"/>
          <w:numId w:val="10"/>
        </w:numPr>
        <w:spacing w:before="0" w:after="80" w:line="300" w:lineRule="auto"/>
      </w:pPr>
      <w:r>
        <w:rPr>
          <w:rFonts w:ascii="Calibri" w:hAnsi="Calibri"/>
          <w:sz w:val="22"/>
        </w:rPr>
        <w:t>Initialize the operating system and baseline security configuration.</w:t>
      </w:r>
    </w:p>
    <w:p>
      <w:pPr>
        <w:numPr>
          <w:ilvl w:val="0"/>
          <w:numId w:val="10"/>
        </w:numPr>
        <w:spacing w:before="0" w:after="80" w:line="300" w:lineRule="auto"/>
      </w:pPr>
      <w:r>
        <w:rPr>
          <w:rFonts w:ascii="Calibri" w:hAnsi="Calibri"/>
          <w:sz w:val="22"/>
        </w:rPr>
        <w:t>Configure hostnames, internal IP addresses, DNS, NTP, and firewall rules.</w:t>
      </w:r>
    </w:p>
    <w:p>
      <w:pPr>
        <w:numPr>
          <w:ilvl w:val="0"/>
          <w:numId w:val="10"/>
        </w:numPr>
        <w:spacing w:before="0" w:after="80" w:line="300" w:lineRule="auto"/>
      </w:pPr>
      <w:r>
        <w:rPr>
          <w:rFonts w:ascii="Calibri" w:hAnsi="Calibri"/>
          <w:sz w:val="22"/>
        </w:rPr>
        <w:t>Mount data disks and configure automatic mount on boot.</w:t>
      </w:r>
    </w:p>
    <w:p>
      <w:pPr>
        <w:numPr>
          <w:ilvl w:val="0"/>
          <w:numId w:val="10"/>
        </w:numPr>
        <w:spacing w:before="0" w:after="80" w:line="300" w:lineRule="auto"/>
      </w:pPr>
      <w:r>
        <w:rPr>
          <w:rFonts w:ascii="Calibri" w:hAnsi="Calibri"/>
          <w:sz w:val="22"/>
        </w:rPr>
        <w:t>Install Docker or the runtime required by the project.</w:t>
      </w:r>
    </w:p>
    <w:p>
      <w:pPr>
        <w:numPr>
          <w:ilvl w:val="0"/>
          <w:numId w:val="10"/>
        </w:numPr>
        <w:spacing w:before="0" w:after="80" w:line="300" w:lineRule="auto"/>
      </w:pPr>
      <w:r>
        <w:rPr>
          <w:rFonts w:ascii="Calibri" w:hAnsi="Calibri"/>
          <w:sz w:val="22"/>
        </w:rPr>
        <w:t>Configure system logs, disk monitoring, and baseline alerts.</w:t>
      </w:r>
    </w:p>
    <w:p>
      <w:pPr>
        <w:pStyle w:val="Heading2"/>
      </w:pPr>
      <w:r>
        <w:t>6.2 Database HA Deployment</w:t>
      </w:r>
    </w:p>
    <w:p>
      <w:pPr>
        <w:numPr>
          <w:ilvl w:val="0"/>
          <w:numId w:val="10"/>
        </w:numPr>
        <w:spacing w:before="0" w:after="80" w:line="300" w:lineRule="auto"/>
      </w:pPr>
      <w:r>
        <w:rPr>
          <w:rFonts w:ascii="Calibri" w:hAnsi="Calibri"/>
          <w:sz w:val="22"/>
        </w:rPr>
        <w:t>Deploy database services on three database nodes.</w:t>
      </w:r>
    </w:p>
    <w:p>
      <w:pPr>
        <w:numPr>
          <w:ilvl w:val="0"/>
          <w:numId w:val="10"/>
        </w:numPr>
        <w:spacing w:before="0" w:after="80" w:line="300" w:lineRule="auto"/>
      </w:pPr>
      <w:r>
        <w:rPr>
          <w:rFonts w:ascii="Calibri" w:hAnsi="Calibri"/>
          <w:sz w:val="22"/>
        </w:rPr>
        <w:t>Configure database HA with MySQL InnoDB Cluster.</w:t>
      </w:r>
    </w:p>
    <w:p>
      <w:pPr>
        <w:numPr>
          <w:ilvl w:val="0"/>
          <w:numId w:val="10"/>
        </w:numPr>
        <w:spacing w:before="0" w:after="80" w:line="300" w:lineRule="auto"/>
      </w:pPr>
      <w:r>
        <w:rPr>
          <w:rFonts w:ascii="Calibri" w:hAnsi="Calibri"/>
          <w:sz w:val="22"/>
        </w:rPr>
        <w:t>Confirm primary node, replica nodes, replication status, and failover capability.</w:t>
      </w:r>
    </w:p>
    <w:p>
      <w:pPr>
        <w:numPr>
          <w:ilvl w:val="0"/>
          <w:numId w:val="10"/>
        </w:numPr>
        <w:spacing w:before="0" w:after="80" w:line="300" w:lineRule="auto"/>
      </w:pPr>
      <w:r>
        <w:rPr>
          <w:rFonts w:ascii="Calibri" w:hAnsi="Calibri"/>
          <w:sz w:val="22"/>
        </w:rPr>
        <w:t>Create business databases, users, and permissions.</w:t>
      </w:r>
    </w:p>
    <w:p>
      <w:pPr>
        <w:numPr>
          <w:ilvl w:val="0"/>
          <w:numId w:val="10"/>
        </w:numPr>
        <w:spacing w:before="0" w:after="80" w:line="300" w:lineRule="auto"/>
      </w:pPr>
      <w:r>
        <w:rPr>
          <w:rFonts w:ascii="Calibri" w:hAnsi="Calibri"/>
          <w:sz w:val="22"/>
        </w:rPr>
        <w:t>Restore migration data and perform consistency verification.</w:t>
      </w:r>
    </w:p>
    <w:p>
      <w:pPr>
        <w:pStyle w:val="Heading2"/>
      </w:pPr>
      <w:r>
        <w:t>6.3 MinIO HA Deployment</w:t>
      </w:r>
    </w:p>
    <w:p>
      <w:pPr>
        <w:numPr>
          <w:ilvl w:val="0"/>
          <w:numId w:val="10"/>
        </w:numPr>
        <w:spacing w:before="0" w:after="80" w:line="300" w:lineRule="auto"/>
      </w:pPr>
      <w:r>
        <w:rPr>
          <w:rFonts w:ascii="Calibri" w:hAnsi="Calibri"/>
          <w:sz w:val="22"/>
        </w:rPr>
        <w:t>Deploy two standalone MinIO nodes and enable bucket replication between the primary write node and the standby node.</w:t>
      </w:r>
    </w:p>
    <w:p>
      <w:pPr>
        <w:numPr>
          <w:ilvl w:val="0"/>
          <w:numId w:val="10"/>
        </w:numPr>
        <w:spacing w:before="0" w:after="80" w:line="300" w:lineRule="auto"/>
      </w:pPr>
      <w:r>
        <w:rPr>
          <w:rFonts w:ascii="Calibri" w:hAnsi="Calibri"/>
          <w:sz w:val="22"/>
        </w:rPr>
        <w:t>Configure dedicated data disks, service parameters, console access, and internal access addresses.</w:t>
      </w:r>
    </w:p>
    <w:p>
      <w:pPr>
        <w:numPr>
          <w:ilvl w:val="0"/>
          <w:numId w:val="10"/>
        </w:numPr>
        <w:spacing w:before="0" w:after="80" w:line="300" w:lineRule="auto"/>
      </w:pPr>
      <w:r>
        <w:rPr>
          <w:rFonts w:ascii="Calibri" w:hAnsi="Calibri"/>
          <w:sz w:val="22"/>
        </w:rPr>
        <w:t>Create buckets, users, policies, and access permissions.</w:t>
      </w:r>
    </w:p>
    <w:p>
      <w:pPr>
        <w:numPr>
          <w:ilvl w:val="0"/>
          <w:numId w:val="10"/>
        </w:numPr>
        <w:spacing w:before="0" w:after="80" w:line="300" w:lineRule="auto"/>
      </w:pPr>
      <w:r>
        <w:rPr>
          <w:rFonts w:ascii="Calibri" w:hAnsi="Calibri"/>
          <w:sz w:val="22"/>
        </w:rPr>
        <w:t>Configure bucket replication and confirm object synchronization from the primary write node to the standby node.</w:t>
      </w:r>
    </w:p>
    <w:p>
      <w:pPr>
        <w:numPr>
          <w:ilvl w:val="0"/>
          <w:numId w:val="10"/>
        </w:numPr>
        <w:spacing w:before="0" w:after="80" w:line="300" w:lineRule="auto"/>
      </w:pPr>
      <w:r>
        <w:rPr>
          <w:rFonts w:ascii="Calibri" w:hAnsi="Calibri"/>
          <w:sz w:val="22"/>
        </w:rPr>
        <w:t>Restore object data and run read/write, synchronization, and failover verification.</w:t>
      </w:r>
    </w:p>
    <w:p>
      <w:pPr>
        <w:pStyle w:val="Heading2"/>
      </w:pPr>
      <w:r>
        <w:t>6.4 Application HA Deployment</w:t>
      </w:r>
    </w:p>
    <w:p>
      <w:pPr>
        <w:numPr>
          <w:ilvl w:val="0"/>
          <w:numId w:val="10"/>
        </w:numPr>
        <w:spacing w:before="0" w:after="80" w:line="300" w:lineRule="auto"/>
      </w:pPr>
      <w:r>
        <w:rPr>
          <w:rFonts w:ascii="Calibri" w:hAnsi="Calibri"/>
          <w:sz w:val="22"/>
        </w:rPr>
        <w:t>Deploy multiple business service instances on the application nodes.</w:t>
      </w:r>
    </w:p>
    <w:p>
      <w:pPr>
        <w:numPr>
          <w:ilvl w:val="0"/>
          <w:numId w:val="10"/>
        </w:numPr>
        <w:spacing w:before="0" w:after="80" w:line="300" w:lineRule="auto"/>
      </w:pPr>
      <w:r>
        <w:rPr>
          <w:rFonts w:ascii="Calibri" w:hAnsi="Calibri"/>
          <w:sz w:val="22"/>
        </w:rPr>
        <w:t>Connect applications to the new database and new MinIO.</w:t>
      </w:r>
    </w:p>
    <w:p>
      <w:pPr>
        <w:numPr>
          <w:ilvl w:val="0"/>
          <w:numId w:val="10"/>
        </w:numPr>
        <w:spacing w:before="0" w:after="80" w:line="300" w:lineRule="auto"/>
      </w:pPr>
      <w:r>
        <w:rPr>
          <w:rFonts w:ascii="Calibri" w:hAnsi="Calibri"/>
          <w:sz w:val="22"/>
        </w:rPr>
        <w:t>Configure service health checks.</w:t>
      </w:r>
    </w:p>
    <w:p>
      <w:pPr>
        <w:numPr>
          <w:ilvl w:val="0"/>
          <w:numId w:val="10"/>
        </w:numPr>
        <w:spacing w:before="0" w:after="80" w:line="300" w:lineRule="auto"/>
      </w:pPr>
      <w:r>
        <w:rPr>
          <w:rFonts w:ascii="Calibri" w:hAnsi="Calibri"/>
          <w:sz w:val="22"/>
        </w:rPr>
        <w:t>Configure backend nodes for load balancing.</w:t>
      </w:r>
    </w:p>
    <w:p>
      <w:pPr>
        <w:numPr>
          <w:ilvl w:val="0"/>
          <w:numId w:val="10"/>
        </w:numPr>
        <w:spacing w:before="0" w:after="80" w:line="300" w:lineRule="auto"/>
      </w:pPr>
      <w:r>
        <w:rPr>
          <w:rFonts w:ascii="Calibri" w:hAnsi="Calibri"/>
          <w:sz w:val="22"/>
        </w:rPr>
        <w:t>Verify application startup, logs, APIs, login, and core business flows.</w:t>
      </w:r>
    </w:p>
    <w:p>
      <w:pPr>
        <w:pStyle w:val="Heading1"/>
      </w:pPr>
      <w:r>
        <w:t>7. Database and MinIO Restore Process</w:t>
      </w:r>
    </w:p>
    <w:p>
      <w:pPr>
        <w:pStyle w:val="SectionLabel"/>
      </w:pPr>
      <w:r>
        <w:rPr>
          <w:rFonts w:ascii="Calibri" w:hAnsi="Calibri"/>
          <w:sz w:val="22"/>
        </w:rPr>
        <w:t>Formal restore sequence:</w:t>
      </w:r>
    </w:p>
    <w:p>
      <w:pPr>
        <w:numPr>
          <w:ilvl w:val="0"/>
          <w:numId w:val="11"/>
        </w:numPr>
        <w:spacing w:before="0" w:after="80" w:line="300" w:lineRule="auto"/>
      </w:pPr>
      <w:r>
        <w:rPr>
          <w:rFonts w:ascii="Calibri" w:hAnsi="Calibri"/>
          <w:sz w:val="22"/>
        </w:rPr>
        <w:t>Confirm the new database HA cluster is healthy.</w:t>
      </w:r>
    </w:p>
    <w:p>
      <w:pPr>
        <w:numPr>
          <w:ilvl w:val="0"/>
          <w:numId w:val="11"/>
        </w:numPr>
        <w:spacing w:before="0" w:after="80" w:line="300" w:lineRule="auto"/>
      </w:pPr>
      <w:r>
        <w:rPr>
          <w:rFonts w:ascii="Calibri" w:hAnsi="Calibri"/>
          <w:sz w:val="22"/>
        </w:rPr>
        <w:t>Restore the final database backup to the new database.</w:t>
      </w:r>
    </w:p>
    <w:p>
      <w:pPr>
        <w:numPr>
          <w:ilvl w:val="0"/>
          <w:numId w:val="11"/>
        </w:numPr>
        <w:spacing w:before="0" w:after="80" w:line="300" w:lineRule="auto"/>
      </w:pPr>
      <w:r>
        <w:rPr>
          <w:rFonts w:ascii="Calibri" w:hAnsi="Calibri"/>
          <w:sz w:val="22"/>
        </w:rPr>
        <w:t>Verify database integrity and core business data.</w:t>
      </w:r>
    </w:p>
    <w:p>
      <w:pPr>
        <w:numPr>
          <w:ilvl w:val="0"/>
          <w:numId w:val="11"/>
        </w:numPr>
        <w:spacing w:before="0" w:after="80" w:line="300" w:lineRule="auto"/>
      </w:pPr>
      <w:r>
        <w:rPr>
          <w:rFonts w:ascii="Calibri" w:hAnsi="Calibri"/>
          <w:sz w:val="22"/>
        </w:rPr>
        <w:t>Confirm both standalone MinIO services and bucket replication are healthy.</w:t>
      </w:r>
    </w:p>
    <w:p>
      <w:pPr>
        <w:numPr>
          <w:ilvl w:val="0"/>
          <w:numId w:val="11"/>
        </w:numPr>
        <w:spacing w:before="0" w:after="80" w:line="300" w:lineRule="auto"/>
      </w:pPr>
      <w:r>
        <w:rPr>
          <w:rFonts w:ascii="Calibri" w:hAnsi="Calibri"/>
          <w:sz w:val="22"/>
        </w:rPr>
        <w:t>Restore the final MinIO object data and metadata to the new MinIO.</w:t>
      </w:r>
    </w:p>
    <w:p>
      <w:pPr>
        <w:numPr>
          <w:ilvl w:val="0"/>
          <w:numId w:val="11"/>
        </w:numPr>
        <w:spacing w:before="0" w:after="80" w:line="300" w:lineRule="auto"/>
      </w:pPr>
      <w:r>
        <w:rPr>
          <w:rFonts w:ascii="Calibri" w:hAnsi="Calibri"/>
          <w:sz w:val="22"/>
        </w:rPr>
        <w:t>Verify object counts, key files, and access permissions.</w:t>
      </w:r>
    </w:p>
    <w:p>
      <w:pPr>
        <w:numPr>
          <w:ilvl w:val="0"/>
          <w:numId w:val="11"/>
        </w:numPr>
        <w:spacing w:before="0" w:after="80" w:line="300" w:lineRule="auto"/>
      </w:pPr>
      <w:r>
        <w:rPr>
          <w:rFonts w:ascii="Calibri" w:hAnsi="Calibri"/>
          <w:sz w:val="22"/>
        </w:rPr>
        <w:t>Update application configuration so applications connect to the new database and new MinIO.</w:t>
      </w:r>
    </w:p>
    <w:p>
      <w:pPr>
        <w:numPr>
          <w:ilvl w:val="0"/>
          <w:numId w:val="11"/>
        </w:numPr>
        <w:spacing w:before="0" w:after="80" w:line="300" w:lineRule="auto"/>
      </w:pPr>
      <w:r>
        <w:rPr>
          <w:rFonts w:ascii="Calibri" w:hAnsi="Calibri"/>
          <w:sz w:val="22"/>
        </w:rPr>
        <w:t>Start application services and perform full business verification.</w:t>
      </w:r>
    </w:p>
    <w:p>
      <w:pPr>
        <w:pStyle w:val="Heading1"/>
      </w:pPr>
      <w:r>
        <w:t>8. DNS Verification Plan</w:t>
      </w:r>
    </w:p>
    <w:p>
      <w:r>
        <w:rPr>
          <w:rFonts w:ascii="Calibri" w:hAnsi="Calibri"/>
          <w:sz w:val="22"/>
        </w:rPr>
        <w:t>This migration does not include a DNS switch. The focus is to verify DNS resolution, entry connectivity, and pre-migration entry records.</w:t>
      </w:r>
    </w:p>
    <w:p>
      <w:pPr>
        <w:pStyle w:val="Heading2"/>
      </w:pPr>
      <w:r>
        <w:t>8.1 Pre-Migration Preparation</w:t>
      </w:r>
    </w:p>
    <w:p>
      <w:pPr>
        <w:numPr>
          <w:ilvl w:val="0"/>
          <w:numId w:val="10"/>
        </w:numPr>
        <w:spacing w:before="0" w:after="80" w:line="300" w:lineRule="auto"/>
      </w:pPr>
      <w:r>
        <w:rPr>
          <w:rFonts w:ascii="Calibri" w:hAnsi="Calibri"/>
          <w:sz w:val="22"/>
        </w:rPr>
        <w:t>Confirm current business domain DNS records, TTL, certificates, and load balancer entry.</w:t>
      </w:r>
    </w:p>
    <w:p>
      <w:pPr>
        <w:numPr>
          <w:ilvl w:val="0"/>
          <w:numId w:val="10"/>
        </w:numPr>
        <w:spacing w:before="0" w:after="80" w:line="300" w:lineRule="auto"/>
      </w:pPr>
      <w:r>
        <w:rPr>
          <w:rFonts w:ascii="Calibri" w:hAnsi="Calibri"/>
          <w:sz w:val="22"/>
        </w:rPr>
        <w:t>Confirm the public IP address, certificates, and load balancer configuration of the new HA entry.</w:t>
      </w:r>
    </w:p>
    <w:p>
      <w:pPr>
        <w:numPr>
          <w:ilvl w:val="0"/>
          <w:numId w:val="10"/>
        </w:numPr>
        <w:spacing w:before="0" w:after="80" w:line="300" w:lineRule="auto"/>
      </w:pPr>
      <w:r>
        <w:rPr>
          <w:rFonts w:ascii="Calibri" w:hAnsi="Calibri"/>
          <w:sz w:val="22"/>
        </w:rPr>
        <w:t>Confirm health checks in the new environment have passed.</w:t>
      </w:r>
    </w:p>
    <w:p>
      <w:pPr>
        <w:numPr>
          <w:ilvl w:val="0"/>
          <w:numId w:val="10"/>
        </w:numPr>
        <w:spacing w:before="0" w:after="80" w:line="300" w:lineRule="auto"/>
      </w:pPr>
      <w:r>
        <w:rPr>
          <w:rFonts w:ascii="Calibri" w:hAnsi="Calibri"/>
          <w:sz w:val="22"/>
        </w:rPr>
        <w:t>Keep screenshots or exported records of pre-migration DNS resolution for post-migration comparison.</w:t>
      </w:r>
    </w:p>
    <w:p>
      <w:pPr>
        <w:pStyle w:val="Heading2"/>
      </w:pPr>
      <w:r>
        <w:t>8.2 Formal Verification</w:t>
      </w:r>
    </w:p>
    <w:p>
      <w:pPr>
        <w:numPr>
          <w:ilvl w:val="0"/>
          <w:numId w:val="10"/>
        </w:numPr>
        <w:spacing w:before="0" w:after="80" w:line="300" w:lineRule="auto"/>
      </w:pPr>
      <w:r>
        <w:rPr>
          <w:rFonts w:ascii="Calibri" w:hAnsi="Calibri"/>
          <w:sz w:val="22"/>
        </w:rPr>
        <w:t>Put the business into maintenance or read-only mode.</w:t>
      </w:r>
    </w:p>
    <w:p>
      <w:pPr>
        <w:numPr>
          <w:ilvl w:val="0"/>
          <w:numId w:val="10"/>
        </w:numPr>
        <w:spacing w:before="0" w:after="80" w:line="300" w:lineRule="auto"/>
      </w:pPr>
      <w:r>
        <w:rPr>
          <w:rFonts w:ascii="Calibri" w:hAnsi="Calibri"/>
          <w:sz w:val="22"/>
        </w:rPr>
        <w:t>Complete final synchronization for the database and MinIO.</w:t>
      </w:r>
    </w:p>
    <w:p>
      <w:pPr>
        <w:numPr>
          <w:ilvl w:val="0"/>
          <w:numId w:val="10"/>
        </w:numPr>
        <w:spacing w:before="0" w:after="80" w:line="300" w:lineRule="auto"/>
      </w:pPr>
      <w:r>
        <w:rPr>
          <w:rFonts w:ascii="Calibri" w:hAnsi="Calibri"/>
          <w:sz w:val="22"/>
        </w:rPr>
        <w:t>Complete business verification in the new environment.</w:t>
      </w:r>
    </w:p>
    <w:p>
      <w:pPr>
        <w:numPr>
          <w:ilvl w:val="0"/>
          <w:numId w:val="10"/>
        </w:numPr>
        <w:spacing w:before="0" w:after="80" w:line="300" w:lineRule="auto"/>
      </w:pPr>
      <w:r>
        <w:rPr>
          <w:rFonts w:ascii="Calibri" w:hAnsi="Calibri"/>
          <w:sz w:val="22"/>
        </w:rPr>
        <w:t>Verify that the business domain still resolves to the current new DNS entry.</w:t>
      </w:r>
    </w:p>
    <w:p>
      <w:pPr>
        <w:numPr>
          <w:ilvl w:val="0"/>
          <w:numId w:val="10"/>
        </w:numPr>
        <w:spacing w:before="0" w:after="80" w:line="300" w:lineRule="auto"/>
      </w:pPr>
      <w:r>
        <w:rPr>
          <w:rFonts w:ascii="Calibri" w:hAnsi="Calibri"/>
          <w:sz w:val="22"/>
        </w:rPr>
        <w:t>Run DNS resolution verification from multiple regions.</w:t>
      </w:r>
    </w:p>
    <w:p>
      <w:pPr>
        <w:numPr>
          <w:ilvl w:val="0"/>
          <w:numId w:val="10"/>
        </w:numPr>
        <w:spacing w:before="0" w:after="80" w:line="300" w:lineRule="auto"/>
      </w:pPr>
      <w:r>
        <w:rPr>
          <w:rFonts w:ascii="Calibri" w:hAnsi="Calibri"/>
          <w:sz w:val="22"/>
        </w:rPr>
        <w:t>Verify access, login, core APIs, and file upload/download.</w:t>
      </w:r>
    </w:p>
    <w:p>
      <w:pPr>
        <w:pStyle w:val="Heading2"/>
      </w:pPr>
      <w:r>
        <w:t>8.3 Post-Verification Observation</w:t>
      </w:r>
    </w:p>
    <w:p>
      <w:r>
        <w:rPr>
          <w:rFonts w:ascii="Calibri" w:hAnsi="Calibri"/>
          <w:sz w:val="22"/>
        </w:rPr>
        <w:t>Continue observation for 24-72 hours after migration:</w:t>
      </w:r>
    </w:p>
    <w:p>
      <w:pPr>
        <w:numPr>
          <w:ilvl w:val="0"/>
          <w:numId w:val="10"/>
        </w:numPr>
        <w:spacing w:before="0" w:after="80" w:line="300" w:lineRule="auto"/>
      </w:pPr>
      <w:r>
        <w:rPr>
          <w:rFonts w:ascii="Calibri" w:hAnsi="Calibri"/>
          <w:sz w:val="22"/>
        </w:rPr>
        <w:t>Application error rate.</w:t>
      </w:r>
    </w:p>
    <w:p>
      <w:pPr>
        <w:numPr>
          <w:ilvl w:val="0"/>
          <w:numId w:val="10"/>
        </w:numPr>
        <w:spacing w:before="0" w:after="80" w:line="300" w:lineRule="auto"/>
      </w:pPr>
      <w:r>
        <w:rPr>
          <w:rFonts w:ascii="Calibri" w:hAnsi="Calibri"/>
          <w:sz w:val="22"/>
        </w:rPr>
        <w:t>API latency.</w:t>
      </w:r>
    </w:p>
    <w:p>
      <w:pPr>
        <w:numPr>
          <w:ilvl w:val="0"/>
          <w:numId w:val="10"/>
        </w:numPr>
        <w:spacing w:before="0" w:after="80" w:line="300" w:lineRule="auto"/>
      </w:pPr>
      <w:r>
        <w:rPr>
          <w:rFonts w:ascii="Calibri" w:hAnsi="Calibri"/>
          <w:sz w:val="22"/>
        </w:rPr>
        <w:t>Database connections, replication status, and slow queries.</w:t>
      </w:r>
    </w:p>
    <w:p>
      <w:pPr>
        <w:numPr>
          <w:ilvl w:val="0"/>
          <w:numId w:val="10"/>
        </w:numPr>
        <w:spacing w:before="0" w:after="80" w:line="300" w:lineRule="auto"/>
      </w:pPr>
      <w:r>
        <w:rPr>
          <w:rFonts w:ascii="Calibri" w:hAnsi="Calibri"/>
          <w:sz w:val="22"/>
        </w:rPr>
        <w:t>MinIO node status, bucket replication status, disk utilization, and object read/write.</w:t>
      </w:r>
    </w:p>
    <w:p>
      <w:pPr>
        <w:numPr>
          <w:ilvl w:val="0"/>
          <w:numId w:val="10"/>
        </w:numPr>
        <w:spacing w:before="0" w:after="80" w:line="300" w:lineRule="auto"/>
      </w:pPr>
      <w:r>
        <w:rPr>
          <w:rFonts w:ascii="Calibri" w:hAnsi="Calibri"/>
          <w:sz w:val="22"/>
        </w:rPr>
        <w:t>Load balancer health checks.</w:t>
      </w:r>
    </w:p>
    <w:p>
      <w:pPr>
        <w:numPr>
          <w:ilvl w:val="0"/>
          <w:numId w:val="10"/>
        </w:numPr>
        <w:spacing w:before="0" w:after="80" w:line="300" w:lineRule="auto"/>
      </w:pPr>
      <w:r>
        <w:rPr>
          <w:rFonts w:ascii="Calibri" w:hAnsi="Calibri"/>
          <w:sz w:val="22"/>
        </w:rPr>
        <w:t>Server CPU, memory, disk, and network traffic.</w:t>
      </w:r>
    </w:p>
    <w:p>
      <w:pPr>
        <w:pStyle w:val="Heading1"/>
      </w:pPr>
      <w:r>
        <w:t>9. Old Environment Retention</w:t>
      </w:r>
    </w:p>
    <w:p>
      <w:r>
        <w:rPr>
          <w:rFonts w:ascii="Calibri" w:hAnsi="Calibri"/>
          <w:sz w:val="22"/>
        </w:rPr>
        <w:t>Before the new-version HA environment is fully validated, the old environment will not be released and will remain available as an emergency safeguard during the observation period.</w:t>
      </w:r>
    </w:p>
    <w:p>
      <w:pPr>
        <w:pStyle w:val="SectionLabel"/>
      </w:pPr>
      <w:r>
        <w:rPr>
          <w:rFonts w:ascii="Calibri" w:hAnsi="Calibri"/>
          <w:sz w:val="22"/>
        </w:rPr>
        <w:t>Retention strategy:</w:t>
      </w:r>
    </w:p>
    <w:p>
      <w:pPr>
        <w:numPr>
          <w:ilvl w:val="0"/>
          <w:numId w:val="10"/>
        </w:numPr>
        <w:spacing w:before="0" w:after="80" w:line="300" w:lineRule="auto"/>
      </w:pPr>
      <w:r>
        <w:rPr>
          <w:rFonts w:ascii="Calibri" w:hAnsi="Calibri"/>
          <w:sz w:val="22"/>
        </w:rPr>
        <w:t>Before new HA deployment, data restore, and business verification are complete, keep the old environment available.</w:t>
      </w:r>
    </w:p>
    <w:p>
      <w:pPr>
        <w:numPr>
          <w:ilvl w:val="0"/>
          <w:numId w:val="10"/>
        </w:numPr>
        <w:spacing w:before="0" w:after="80" w:line="300" w:lineRule="auto"/>
      </w:pPr>
      <w:r>
        <w:rPr>
          <w:rFonts w:ascii="Calibri" w:hAnsi="Calibri"/>
          <w:sz w:val="22"/>
        </w:rPr>
        <w:t>After business verification passes in the new environment, keep the old environment in standby observation mode.</w:t>
      </w:r>
    </w:p>
    <w:p>
      <w:pPr>
        <w:numPr>
          <w:ilvl w:val="0"/>
          <w:numId w:val="10"/>
        </w:numPr>
        <w:spacing w:before="0" w:after="80" w:line="300" w:lineRule="auto"/>
      </w:pPr>
      <w:r>
        <w:rPr>
          <w:rFonts w:ascii="Calibri" w:hAnsi="Calibri"/>
          <w:sz w:val="22"/>
        </w:rPr>
        <w:t>If a severe issue is found in the new environment during the observation period, first pause migration handling and preserve onsite logs, database status, and MinIO status.</w:t>
      </w:r>
    </w:p>
    <w:p>
      <w:pPr>
        <w:numPr>
          <w:ilvl w:val="0"/>
          <w:numId w:val="10"/>
        </w:numPr>
        <w:spacing w:before="0" w:after="80" w:line="300" w:lineRule="auto"/>
      </w:pPr>
      <w:r>
        <w:rPr>
          <w:rFonts w:ascii="Calibri" w:hAnsi="Calibri"/>
          <w:sz w:val="22"/>
        </w:rPr>
        <w:t>After the observation period and customer acceptance are complete, schedule the release of old server resources.</w:t>
      </w:r>
    </w:p>
    <w:p>
      <w:pPr>
        <w:pStyle w:val="Heading1"/>
      </w:pPr>
      <w:r>
        <w:t>10. Acceptance Criteria</w:t>
      </w:r>
    </w:p>
    <w:p>
      <w:r>
        <w:rPr>
          <w:rFonts w:ascii="Calibri" w:hAnsi="Calibri"/>
          <w:sz w:val="22"/>
        </w:rPr>
        <w:t>After migration is complete, acceptance will be based on the following criteria:</w:t>
      </w:r>
    </w:p>
    <w:p>
      <w:pPr>
        <w:numPr>
          <w:ilvl w:val="0"/>
          <w:numId w:val="10"/>
        </w:numPr>
        <w:spacing w:before="0" w:after="80" w:line="300" w:lineRule="auto"/>
      </w:pPr>
      <w:r>
        <w:rPr>
          <w:rFonts w:ascii="Calibri" w:hAnsi="Calibri"/>
          <w:sz w:val="22"/>
        </w:rPr>
        <w:t>The new HA entry is accessible normally.</w:t>
      </w:r>
    </w:p>
    <w:p>
      <w:pPr>
        <w:numPr>
          <w:ilvl w:val="0"/>
          <w:numId w:val="10"/>
        </w:numPr>
        <w:spacing w:before="0" w:after="80" w:line="300" w:lineRule="auto"/>
      </w:pPr>
      <w:r>
        <w:rPr>
          <w:rFonts w:ascii="Calibri" w:hAnsi="Calibri"/>
          <w:sz w:val="22"/>
        </w:rPr>
        <w:t>Core business flows pass verification.</w:t>
      </w:r>
    </w:p>
    <w:p>
      <w:pPr>
        <w:numPr>
          <w:ilvl w:val="0"/>
          <w:numId w:val="10"/>
        </w:numPr>
        <w:spacing w:before="0" w:after="80" w:line="300" w:lineRule="auto"/>
      </w:pPr>
      <w:r>
        <w:rPr>
          <w:rFonts w:ascii="Calibri" w:hAnsi="Calibri"/>
          <w:sz w:val="22"/>
        </w:rPr>
        <w:t>Database HA status is normal and data is complete.</w:t>
      </w:r>
    </w:p>
    <w:p>
      <w:pPr>
        <w:numPr>
          <w:ilvl w:val="0"/>
          <w:numId w:val="10"/>
        </w:numPr>
        <w:spacing w:before="0" w:after="80" w:line="300" w:lineRule="auto"/>
      </w:pPr>
      <w:r>
        <w:rPr>
          <w:rFonts w:ascii="Calibri" w:hAnsi="Calibri"/>
          <w:sz w:val="22"/>
        </w:rPr>
        <w:t>MinIO services are healthy, bucket replication is normal, and core files are accessible.</w:t>
      </w:r>
    </w:p>
    <w:p>
      <w:pPr>
        <w:numPr>
          <w:ilvl w:val="0"/>
          <w:numId w:val="10"/>
        </w:numPr>
        <w:spacing w:before="0" w:after="80" w:line="300" w:lineRule="auto"/>
      </w:pPr>
      <w:r>
        <w:rPr>
          <w:rFonts w:ascii="Calibri" w:hAnsi="Calibri"/>
          <w:sz w:val="22"/>
        </w:rPr>
        <w:t>Current new DNS resolution and entry access pass verification.</w:t>
      </w:r>
    </w:p>
    <w:p>
      <w:pPr>
        <w:numPr>
          <w:ilvl w:val="0"/>
          <w:numId w:val="10"/>
        </w:numPr>
        <w:spacing w:before="0" w:after="80" w:line="300" w:lineRule="auto"/>
      </w:pPr>
      <w:r>
        <w:rPr>
          <w:rFonts w:ascii="Calibri" w:hAnsi="Calibri"/>
          <w:sz w:val="22"/>
        </w:rPr>
        <w:t>The old environment is in standby observation mode and is not released during the observation period.</w:t>
      </w:r>
    </w:p>
    <w:p>
      <w:pPr>
        <w:numPr>
          <w:ilvl w:val="0"/>
          <w:numId w:val="10"/>
        </w:numPr>
        <w:spacing w:before="0" w:after="80" w:line="300" w:lineRule="auto"/>
      </w:pPr>
      <w:r>
        <w:rPr>
          <w:rFonts w:ascii="Calibri" w:hAnsi="Calibri"/>
          <w:sz w:val="22"/>
        </w:rPr>
        <w:t>Migration logs, backup files, and verification records are retained completely.</w:t>
      </w:r>
    </w:p>
    <w:p>
      <w:pPr>
        <w:numPr>
          <w:ilvl w:val="0"/>
          <w:numId w:val="10"/>
        </w:numPr>
        <w:spacing w:before="0" w:after="80" w:line="300" w:lineRule="auto"/>
      </w:pPr>
      <w:r>
        <w:rPr>
          <w:rFonts w:ascii="Calibri" w:hAnsi="Calibri"/>
          <w:sz w:val="22"/>
        </w:rPr>
        <w:t>Business availability is confirmed and acceptance is completed by signature or email confirmation.</w:t>
      </w:r>
    </w:p>
    <w:p>
      <w:pPr>
        <w:pStyle w:val="Heading1"/>
      </w:pPr>
      <w:r>
        <w:t>11. Coordination Items</w:t>
      </w:r>
    </w:p>
    <w:p>
      <w:r>
        <w:rPr>
          <w:rFonts w:ascii="Calibri" w:hAnsi="Calibri"/>
          <w:sz w:val="22"/>
        </w:rPr>
        <w:t>The customer side should confirm the following items in advance:</w:t>
      </w:r>
    </w:p>
    <w:p>
      <w:pPr>
        <w:numPr>
          <w:ilvl w:val="0"/>
          <w:numId w:val="10"/>
        </w:numPr>
        <w:spacing w:before="0" w:after="80" w:line="300" w:lineRule="auto"/>
      </w:pPr>
      <w:r>
        <w:rPr>
          <w:rFonts w:ascii="Calibri" w:hAnsi="Calibri"/>
          <w:sz w:val="22"/>
        </w:rPr>
        <w:t>New environment server resources and network policies.</w:t>
      </w:r>
    </w:p>
    <w:p>
      <w:pPr>
        <w:numPr>
          <w:ilvl w:val="0"/>
          <w:numId w:val="10"/>
        </w:numPr>
        <w:spacing w:before="0" w:after="80" w:line="300" w:lineRule="auto"/>
      </w:pPr>
      <w:r>
        <w:rPr>
          <w:rFonts w:ascii="Calibri" w:hAnsi="Calibri"/>
          <w:sz w:val="22"/>
        </w:rPr>
        <w:t>Owner for DNS current records, certificates, and entry configuration confirmation.</w:t>
      </w:r>
    </w:p>
    <w:p>
      <w:pPr>
        <w:pStyle w:val="Heading1"/>
      </w:pPr>
      <w:r>
        <w:t>12. Migration-Day Checklist</w:t>
      </w:r>
    </w:p>
    <w:tbl>
      <w:tblPr>
        <w:tblW w:type="dxa" w:w="9360"/>
        <w:jc w:val="left"/>
        <w:tblLayout w:type="fixed"/>
        <w:tblLook w:firstColumn="1" w:firstRow="1" w:lastColumn="0" w:lastRow="0" w:noHBand="0" w:noVBand="1" w:val="04A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CellMar>
          <w:top w:w="80" w:type="dxa"/>
          <w:bottom w:w="80" w:type="dxa"/>
          <w:start w:w="120" w:type="dxa"/>
          <w:end w:w="120" w:type="dxa"/>
        </w:tblCellMar>
      </w:tblPr>
      <w:tblGrid>
        <w:gridCol w:w="7200"/>
        <w:gridCol w:w="2160"/>
      </w:tblGrid>
      <w:tr>
        <w:tc>
          <w:tcPr>
            <w:tcW w:type="dxa" w:w="7200"/>
            <w:vAlign w:val="center"/>
            <w:shd w:fill="E8EEF5"/>
          </w:tcPr>
          <w:p>
            <w:pPr>
              <w:spacing w:before="0" w:after="0" w:line="276" w:lineRule="auto"/>
            </w:pPr>
            <w:r/>
            <w:r>
              <w:rPr>
                <w:rFonts w:ascii="Calibri" w:hAnsi="Calibri"/>
                <w:b/>
                <w:color w:val="0B2545"/>
                <w:sz w:val="19"/>
              </w:rPr>
              <w:t>Checklist Item</w:t>
            </w:r>
          </w:p>
        </w:tc>
        <w:tc>
          <w:tcPr>
            <w:tcW w:type="dxa" w:w="2160"/>
            <w:vAlign w:val="center"/>
            <w:shd w:fill="E8EEF5"/>
          </w:tcPr>
          <w:p>
            <w:pPr>
              <w:spacing w:before="0" w:after="0" w:line="276" w:lineRule="auto"/>
            </w:pPr>
            <w:r/>
            <w:r>
              <w:rPr>
                <w:rFonts w:ascii="Calibri" w:hAnsi="Calibri"/>
                <w:b/>
                <w:color w:val="0B2545"/>
                <w:sz w:val="19"/>
              </w:rPr>
              <w:t>Status</w:t>
            </w:r>
          </w:p>
        </w:tc>
      </w:tr>
      <w:tr>
        <w:tc>
          <w:tcPr>
            <w:tcW w:type="dxa" w:w="7200"/>
            <w:vAlign w:val="center"/>
          </w:tcPr>
          <w:p>
            <w:pPr>
              <w:spacing w:before="0" w:after="0" w:line="276" w:lineRule="auto"/>
            </w:pPr>
            <w:r/>
            <w:r>
              <w:rPr>
                <w:rFonts w:ascii="Calibri" w:hAnsi="Calibri"/>
                <w:b w:val="0"/>
                <w:sz w:val="19"/>
              </w:rPr>
              <w:t>Business migration window has been communicated</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Current new DNS resolution has been confirmed</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New server resources are ready</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Database cluster has been deployed</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MinIO services have been deployed</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Application services have been deployed to the new environment</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Final database backup is complete</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Final MinIO synchronization is complete</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Database restore verification has passed</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MinIO restore verification has passed</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New environment business verification has passed</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DNS resolution and entry access have been verified</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Post-migration monitoring is normal</w:t>
            </w:r>
          </w:p>
        </w:tc>
        <w:tc>
          <w:tcPr>
            <w:tcW w:type="dxa" w:w="2160"/>
            <w:vAlign w:val="center"/>
          </w:tcPr>
          <w:p>
            <w:pPr>
              <w:spacing w:before="0" w:after="0" w:line="276" w:lineRule="auto"/>
            </w:pPr>
            <w:r/>
            <w:r>
              <w:rPr>
                <w:rFonts w:ascii="Calibri" w:hAnsi="Calibri"/>
                <w:b w:val="0"/>
                <w:sz w:val="19"/>
              </w:rPr>
              <w:t>To be confirmed</w:t>
            </w:r>
          </w:p>
        </w:tc>
      </w:tr>
      <w:tr>
        <w:tc>
          <w:tcPr>
            <w:tcW w:type="dxa" w:w="7200"/>
            <w:vAlign w:val="center"/>
          </w:tcPr>
          <w:p>
            <w:pPr>
              <w:spacing w:before="0" w:after="0" w:line="276" w:lineRule="auto"/>
            </w:pPr>
            <w:r/>
            <w:r>
              <w:rPr>
                <w:rFonts w:ascii="Calibri" w:hAnsi="Calibri"/>
                <w:b w:val="0"/>
                <w:sz w:val="19"/>
              </w:rPr>
              <w:t>Old environment is retained for observation</w:t>
            </w:r>
          </w:p>
        </w:tc>
        <w:tc>
          <w:tcPr>
            <w:tcW w:type="dxa" w:w="2160"/>
            <w:vAlign w:val="center"/>
          </w:tcPr>
          <w:p>
            <w:pPr>
              <w:spacing w:before="0" w:after="0" w:line="276" w:lineRule="auto"/>
            </w:pPr>
            <w:r/>
            <w:r>
              <w:rPr>
                <w:rFonts w:ascii="Calibri" w:hAnsi="Calibri"/>
                <w:b w:val="0"/>
                <w:sz w:val="19"/>
              </w:rPr>
              <w:t>To be confirmed</w:t>
            </w:r>
          </w:p>
        </w:tc>
      </w:tr>
    </w:tbl>
    <w:p>
      <w:pPr>
        <w:spacing w:before="0" w:after="120" w:line="300" w:lineRule="auto"/>
      </w:pPr>
    </w:p>
    <w:p>
      <w:pPr>
        <w:spacing w:before="0" w:after="0" w:line="300"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667085"/>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667085"/>
        <w:sz w:val="18"/>
      </w:rPr>
      <w:t>Algeria Project Migration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 Title"/>
    <w:basedOn w:val="Normal"/>
    <w:pPr>
      <w:spacing w:before="0" w:after="240" w:line="276" w:lineRule="auto"/>
    </w:pPr>
    <w:rPr>
      <w:rFonts w:ascii="Calibri" w:hAnsi="Calibri"/>
      <w:b/>
      <w:color w:val="0B2545"/>
      <w:sz w:val="40"/>
    </w:rPr>
  </w:style>
  <w:style w:type="paragraph" w:customStyle="1" w:styleId="SectionLabel">
    <w:name w:val="Section Label"/>
    <w:basedOn w:val="Normal"/>
    <w:pPr>
      <w:spacing w:before="80" w:after="80" w:line="300" w:lineRule="auto"/>
    </w:pPr>
    <w:rPr>
      <w:rFonts w:ascii="Calibri" w:hAnsi="Calibri"/>
      <w:b/>
      <w:color w:val="0B254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Algeria Project Migration Plan</dc:title>
  <dc:subject>English migration plan for the Algeria project</dc:subject>
  <dc:creator>AIFAR Deployment</dc:creator>
  <cp:keywords>Algeria, migration, HA, DNS, MinIO, database</cp:keywords>
  <dc:description>generated by python-docx</dc:description>
  <cp:lastModifiedBy/>
  <cp:revision>1</cp:revision>
  <dcterms:created xsi:type="dcterms:W3CDTF">2013-12-23T23:15:00Z</dcterms:created>
  <dcterms:modified xsi:type="dcterms:W3CDTF">2013-12-23T23:15:00Z</dcterms:modified>
  <cp:category/>
</cp:coreProperties>
</file>