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FFD787">
      <w:pPr>
        <w:spacing w:before="0" w:after="80" w:line="264" w:lineRule="auto"/>
        <w:jc w:val="center"/>
      </w:pPr>
      <w:r>
        <w:rPr>
          <w:rFonts w:ascii="Calibri" w:hAnsi="Calibri" w:eastAsia="微软雅黑"/>
          <w:b/>
          <w:color w:val="0B2545"/>
          <w:sz w:val="44"/>
        </w:rPr>
        <w:t>Algeria Project Migration Plan</w:t>
      </w:r>
    </w:p>
    <w:p w14:paraId="5F84F28E">
      <w:pPr>
        <w:spacing w:before="0" w:after="280" w:line="240" w:lineRule="auto"/>
        <w:jc w:val="center"/>
      </w:pPr>
      <w:r>
        <w:rPr>
          <w:rFonts w:ascii="Calibri" w:hAnsi="Calibri" w:eastAsia="微软雅黑"/>
          <w:color w:val="666666"/>
          <w:sz w:val="20"/>
        </w:rPr>
        <w:t>Migration Execution Version | High-Availability Deployment, Data Migration, and DNS Validation</w:t>
      </w:r>
    </w:p>
    <w:p w14:paraId="2C63692C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1. Migration Objectives</w:t>
      </w:r>
    </w:p>
    <w:p w14:paraId="6AF220AE">
      <w:pPr>
        <w:spacing w:before="0" w:after="120" w:line="264" w:lineRule="auto"/>
      </w:pPr>
      <w:r>
        <w:rPr>
          <w:rFonts w:ascii="Calibri" w:hAnsi="Calibri" w:eastAsia="微软雅黑"/>
          <w:b w:val="0"/>
          <w:sz w:val="22"/>
        </w:rPr>
        <w:t>The objective of this migration is to move the Algeria project smoothly from the existing environment to a new high-availability environment, complete the database and MinIO data migration, deploy application services in a high-availability mode, and validate the currently enabled DNS entry point.</w:t>
      </w:r>
    </w:p>
    <w:p w14:paraId="6C84184E">
      <w:pPr>
        <w:spacing w:before="0" w:after="120" w:line="264" w:lineRule="auto"/>
      </w:pPr>
      <w:r>
        <w:rPr>
          <w:rFonts w:ascii="Calibri" w:hAnsi="Calibri" w:eastAsia="微软雅黑"/>
          <w:b w:val="0"/>
          <w:sz w:val="22"/>
        </w:rPr>
        <w:t>Key objectives:</w:t>
      </w:r>
    </w:p>
    <w:p w14:paraId="71AF8591">
      <w:pPr>
        <w:pStyle w:val="16"/>
        <w:numPr>
          <w:ilvl w:val="0"/>
          <w:numId w:val="7"/>
        </w:numPr>
        <w:tabs>
          <w:tab w:val="clear" w:pos="360"/>
        </w:tabs>
        <w:spacing w:before="0" w:after="160" w:line="280" w:lineRule="auto"/>
        <w:ind w:leftChars="0"/>
      </w:pPr>
      <w:r>
        <w:rPr>
          <w:rFonts w:ascii="Calibri" w:hAnsi="Calibri" w:eastAsia="微软雅黑"/>
          <w:b w:val="0"/>
          <w:sz w:val="22"/>
        </w:rPr>
        <w:t>Ensure that the database and MinIO data are complete and recoverable.</w:t>
      </w:r>
    </w:p>
    <w:p w14:paraId="256E2481">
      <w:pPr>
        <w:pStyle w:val="16"/>
        <w:numPr>
          <w:ilvl w:val="0"/>
          <w:numId w:val="7"/>
        </w:numPr>
        <w:spacing w:before="0" w:after="160" w:line="280" w:lineRule="auto"/>
        <w:ind w:left="360" w:leftChars="0" w:hanging="360" w:firstLineChars="0"/>
      </w:pPr>
      <w:r>
        <w:rPr>
          <w:rFonts w:ascii="Calibri" w:hAnsi="Calibri" w:eastAsia="微软雅黑"/>
          <w:b w:val="0"/>
          <w:sz w:val="22"/>
        </w:rPr>
        <w:t>Provide disaster recovery capability in the new environment and avoid single points of failure in the HA architecture.</w:t>
      </w:r>
    </w:p>
    <w:p w14:paraId="60D9D9DF">
      <w:pPr>
        <w:pStyle w:val="16"/>
        <w:numPr>
          <w:ilvl w:val="0"/>
          <w:numId w:val="7"/>
        </w:numPr>
        <w:spacing w:before="0" w:after="160" w:line="280" w:lineRule="auto"/>
        <w:ind w:left="360" w:leftChars="0" w:hanging="360" w:firstLineChars="0"/>
      </w:pPr>
      <w:r>
        <w:rPr>
          <w:rFonts w:ascii="Calibri" w:hAnsi="Calibri" w:eastAsia="微软雅黑"/>
          <w:b w:val="0"/>
          <w:sz w:val="22"/>
        </w:rPr>
        <w:t>During the migration window, focus on validating DNS resolution and entry-point connectivity.</w:t>
      </w:r>
    </w:p>
    <w:p w14:paraId="2B0E0F24">
      <w:pPr>
        <w:pStyle w:val="16"/>
        <w:numPr>
          <w:ilvl w:val="0"/>
          <w:numId w:val="7"/>
        </w:numPr>
        <w:spacing w:before="0" w:after="160" w:line="280" w:lineRule="auto"/>
        <w:ind w:left="360" w:leftChars="0" w:hanging="360" w:firstLineChars="0"/>
      </w:pPr>
      <w:r>
        <w:rPr>
          <w:rFonts w:ascii="Calibri" w:hAnsi="Calibri" w:eastAsia="微软雅黑"/>
          <w:b w:val="0"/>
          <w:sz w:val="22"/>
        </w:rPr>
        <w:t>Release the legacy environment directly before deploying the new environment.</w:t>
      </w:r>
    </w:p>
    <w:p w14:paraId="577CFB87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2. Timeline</w:t>
      </w:r>
    </w:p>
    <w:p w14:paraId="67ECE622">
      <w:pPr>
        <w:spacing w:before="0" w:after="120" w:line="264" w:lineRule="auto"/>
      </w:pPr>
      <w:r>
        <w:rPr>
          <w:rFonts w:ascii="Calibri" w:hAnsi="Calibri" w:eastAsia="微软雅黑"/>
          <w:b w:val="0"/>
          <w:sz w:val="22"/>
        </w:rPr>
        <w:t>After arriving on site, and once server resources, network policies, and access permissions are ready, execute the new HA migration. The estimated completion time is 24 hours.</w:t>
      </w:r>
    </w:p>
    <w:p w14:paraId="10E24E81">
      <w:pPr>
        <w:spacing w:before="0" w:after="120" w:line="264" w:lineRule="auto"/>
      </w:pPr>
      <w:r>
        <w:rPr>
          <w:rFonts w:ascii="Calibri" w:hAnsi="Calibri" w:eastAsia="微软雅黑"/>
          <w:b w:val="0"/>
          <w:sz w:val="22"/>
        </w:rPr>
        <w:t>Planned sequence:</w:t>
      </w:r>
    </w:p>
    <w:p w14:paraId="34D32139">
      <w:pPr>
        <w:pStyle w:val="14"/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Check the basic prerequisites, including servers, network, disks, DNS, and certificates.</w:t>
      </w:r>
    </w:p>
    <w:p w14:paraId="04C746DA">
      <w:pPr>
        <w:pStyle w:val="14"/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Perform pre-migration backups for the database and MinIO.</w:t>
      </w:r>
    </w:p>
    <w:p w14:paraId="6FDEF720">
      <w:pPr>
        <w:pStyle w:val="14"/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Deploy the new HA environment.</w:t>
      </w:r>
    </w:p>
    <w:p w14:paraId="3F6E3A94">
      <w:pPr>
        <w:pStyle w:val="14"/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Restore the database and MinIO data.</w:t>
      </w:r>
    </w:p>
    <w:p w14:paraId="75969F1D">
      <w:pPr>
        <w:pStyle w:val="14"/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Perform business validation, DNS entry-point validation, and post-migration observation.</w:t>
      </w:r>
    </w:p>
    <w:p w14:paraId="6C7A2511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3. Server Resource Plan</w:t>
      </w:r>
    </w:p>
    <w:p w14:paraId="79267E2A">
      <w:pPr>
        <w:spacing w:before="0" w:after="120" w:line="264" w:lineRule="auto"/>
      </w:pPr>
      <w:r>
        <w:rPr>
          <w:rFonts w:ascii="Calibri" w:hAnsi="Calibri" w:eastAsia="微软雅黑"/>
          <w:b w:val="0"/>
          <w:sz w:val="22"/>
        </w:rPr>
        <w:t>New resources</w:t>
      </w:r>
    </w:p>
    <w:tbl>
      <w:tblPr>
        <w:tblStyle w:val="33"/>
        <w:tblW w:w="9360" w:type="dxa"/>
        <w:tblInd w:w="120" w:type="dxa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100"/>
        <w:gridCol w:w="3480"/>
        <w:gridCol w:w="2980"/>
      </w:tblGrid>
      <w:tr w14:paraId="5F37E2CF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AC8EA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sz w:val="20"/>
              </w:rPr>
              <w:t>Role</w:t>
            </w:r>
          </w:p>
        </w:tc>
        <w:tc>
          <w:tcPr>
            <w:tcW w:w="1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96A1B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Quantity</w:t>
            </w:r>
          </w:p>
        </w:tc>
        <w:tc>
          <w:tcPr>
            <w:tcW w:w="34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8921F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sz w:val="20"/>
              </w:rPr>
              <w:t>Configuration</w:t>
            </w:r>
          </w:p>
        </w:tc>
        <w:tc>
          <w:tcPr>
            <w:tcW w:w="29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E972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sz w:val="20"/>
              </w:rPr>
              <w:t>Primary Purpose</w:t>
            </w:r>
          </w:p>
        </w:tc>
      </w:tr>
      <w:tr w14:paraId="23F08932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F4ACC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Arbitration Node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C9C9C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1 server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E23E1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 xml:space="preserve">8C / 16G / 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6</w:t>
            </w:r>
            <w:r>
              <w:rPr>
                <w:rFonts w:ascii="Calibri" w:hAnsi="Calibri" w:eastAsia="微软雅黑"/>
                <w:b w:val="0"/>
                <w:sz w:val="20"/>
              </w:rPr>
              <w:t>00G (100G system disk + 500G data disk)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4209F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Third arbitration node</w:t>
            </w:r>
          </w:p>
        </w:tc>
      </w:tr>
      <w:tr w14:paraId="0A766A47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51037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Service Application Nodes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7AF2F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2 servers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BE6C5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 xml:space="preserve">32C / 64G / 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12</w:t>
            </w:r>
            <w:r>
              <w:rPr>
                <w:rFonts w:ascii="Calibri" w:hAnsi="Calibri" w:eastAsia="微软雅黑"/>
                <w:b w:val="0"/>
                <w:sz w:val="20"/>
              </w:rPr>
              <w:t>00G (100G system disk + 500G data disk)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770E4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Service application cluster</w:t>
            </w:r>
          </w:p>
        </w:tc>
      </w:tr>
      <w:tr w14:paraId="1AFFFDA6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68F51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MySQL, MinIO, Redis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79AF4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2 servers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D6237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 xml:space="preserve">16C / 32G / 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3400</w:t>
            </w:r>
            <w:r>
              <w:rPr>
                <w:rFonts w:ascii="Calibri" w:hAnsi="Calibri" w:eastAsia="微软雅黑"/>
                <w:b w:val="0"/>
                <w:sz w:val="20"/>
              </w:rPr>
              <w:t xml:space="preserve">G (100G system disk + 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3</w:t>
            </w:r>
            <w:r>
              <w:rPr>
                <w:rFonts w:ascii="Calibri" w:hAnsi="Calibri" w:eastAsia="微软雅黑"/>
                <w:b w:val="0"/>
                <w:sz w:val="20"/>
              </w:rPr>
              <w:t>*500G data disks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 xml:space="preserve"> + 1</w:t>
            </w:r>
            <w:r>
              <w:rPr>
                <w:rFonts w:ascii="Calibri" w:hAnsi="Calibri" w:eastAsia="微软雅黑"/>
                <w:b w:val="0"/>
                <w:sz w:val="20"/>
              </w:rPr>
              <w:t>*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1</w:t>
            </w:r>
            <w:r>
              <w:rPr>
                <w:rFonts w:ascii="Calibri" w:hAnsi="Calibri" w:eastAsia="微软雅黑"/>
                <w:b w:val="0"/>
                <w:sz w:val="20"/>
              </w:rPr>
              <w:t>00G data disks)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6113B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MySQL/Redis/MinIO cluster</w:t>
            </w:r>
          </w:p>
        </w:tc>
      </w:tr>
      <w:tr w14:paraId="77EADA5C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12091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IM Application Nodes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40740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4 servers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AC4E2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 xml:space="preserve">16C / 64G / 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2400</w:t>
            </w:r>
            <w:r>
              <w:rPr>
                <w:rFonts w:ascii="Calibri" w:hAnsi="Calibri" w:eastAsia="微软雅黑"/>
                <w:b w:val="0"/>
                <w:sz w:val="20"/>
              </w:rPr>
              <w:t>G (100G system disk + 500G data disk)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806A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IM application cluster</w:t>
            </w:r>
          </w:p>
        </w:tc>
      </w:tr>
      <w:tr w14:paraId="07A60A63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F026A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Total</w:t>
            </w:r>
          </w:p>
        </w:tc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DE318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9 servers</w:t>
            </w:r>
          </w:p>
        </w:tc>
        <w:tc>
          <w:tcPr>
            <w:tcW w:w="34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7FED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 xml:space="preserve">168C / 464GB / 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76</w:t>
            </w:r>
            <w:r>
              <w:rPr>
                <w:rFonts w:ascii="Calibri" w:hAnsi="Calibri" w:eastAsia="微软雅黑"/>
                <w:b w:val="0"/>
                <w:sz w:val="20"/>
              </w:rPr>
              <w:t>00G</w:t>
            </w:r>
          </w:p>
        </w:tc>
        <w:tc>
          <w:tcPr>
            <w:tcW w:w="29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73F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 xml:space="preserve">Approx. 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7.6</w:t>
            </w:r>
            <w:bookmarkStart w:id="0" w:name="_GoBack"/>
            <w:bookmarkEnd w:id="0"/>
            <w:r>
              <w:rPr>
                <w:rFonts w:ascii="Calibri" w:hAnsi="Calibri" w:eastAsia="微软雅黑"/>
                <w:b w:val="0"/>
                <w:sz w:val="20"/>
              </w:rPr>
              <w:t>TB disk capacity</w:t>
            </w:r>
          </w:p>
        </w:tc>
      </w:tr>
    </w:tbl>
    <w:p w14:paraId="2E8E34F9">
      <w:pPr>
        <w:spacing w:before="0" w:after="160" w:line="240" w:lineRule="auto"/>
      </w:pPr>
    </w:p>
    <w:p w14:paraId="336077A6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4. Database Backup Plan</w:t>
      </w:r>
    </w:p>
    <w:p w14:paraId="786483F3">
      <w:pPr>
        <w:spacing w:before="0" w:after="120" w:line="264" w:lineRule="auto"/>
      </w:pPr>
      <w:r>
        <w:rPr>
          <w:rFonts w:ascii="Calibri" w:hAnsi="Calibri" w:eastAsia="微软雅黑"/>
          <w:b w:val="0"/>
          <w:sz w:val="22"/>
        </w:rPr>
        <w:t>Steps:</w:t>
      </w:r>
    </w:p>
    <w:p w14:paraId="593ECE2B">
      <w:pPr>
        <w:pStyle w:val="14"/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Perform a full pre-migration backup.</w:t>
      </w:r>
    </w:p>
    <w:p w14:paraId="09F8A9DE">
      <w:pPr>
        <w:pStyle w:val="14"/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Copy the backup files to backup storage and the new environment.</w:t>
      </w:r>
    </w:p>
    <w:p w14:paraId="2B3E0D0A">
      <w:pPr>
        <w:pStyle w:val="14"/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Run a restore rehearsal in the new environment to confirm restore duration and data integrity.</w:t>
      </w:r>
    </w:p>
    <w:p w14:paraId="406BE19A">
      <w:pPr>
        <w:pStyle w:val="14"/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Before the formal migration, enter a maintenance or write-freeze window and perform the final backup or incremental synchronization.</w:t>
      </w:r>
    </w:p>
    <w:p w14:paraId="796105A5">
      <w:pPr>
        <w:pStyle w:val="14"/>
        <w:numPr>
          <w:ilvl w:val="0"/>
          <w:numId w:val="8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After data restoration, validate core tables, key data counts, and business connectivity.</w:t>
      </w:r>
    </w:p>
    <w:p w14:paraId="0CF17AEE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5. MinIO Backup Plan</w:t>
      </w:r>
    </w:p>
    <w:p w14:paraId="7D27C510">
      <w:pPr>
        <w:spacing w:before="0" w:after="120" w:line="264" w:lineRule="auto"/>
      </w:pPr>
      <w:r>
        <w:rPr>
          <w:rFonts w:ascii="Calibri" w:hAnsi="Calibri" w:eastAsia="微软雅黑"/>
          <w:b w:val="0"/>
          <w:sz w:val="22"/>
        </w:rPr>
        <w:t>Steps:</w:t>
      </w:r>
    </w:p>
    <w:p w14:paraId="0EE151DB">
      <w:pPr>
        <w:pStyle w:val="14"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Inventory buckets, object counts, total capacity, users, policies, access keys, lifecycle rules, and replication policies.</w:t>
      </w:r>
    </w:p>
    <w:p w14:paraId="3D859078">
      <w:pPr>
        <w:pStyle w:val="14"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Run object backup or mc mirror synchronization against the primary-write MinIO, and verify that replication data on standby nodes is consistent.</w:t>
      </w:r>
    </w:p>
    <w:p w14:paraId="5DA673BE">
      <w:pPr>
        <w:pStyle w:val="14"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Export and record metadata such as bucket policies, user policies, and access permissions.</w:t>
      </w:r>
    </w:p>
    <w:p w14:paraId="24CDAE3E">
      <w:pPr>
        <w:pStyle w:val="14"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Sample-check object size, ETag/hash values, and business read results.</w:t>
      </w:r>
    </w:p>
    <w:p w14:paraId="1EFFDAD1">
      <w:pPr>
        <w:pStyle w:val="14"/>
        <w:numPr>
          <w:ilvl w:val="0"/>
          <w:numId w:val="9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Record pre-synchronization duration, remaining incremental data volume, and replication lag.</w:t>
      </w:r>
    </w:p>
    <w:p w14:paraId="412E8C12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6. New HA Environment Deployment</w:t>
      </w:r>
    </w:p>
    <w:p w14:paraId="7B608C56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6.1 Base Environment Deployment</w:t>
      </w:r>
    </w:p>
    <w:p w14:paraId="023EE208">
      <w:pPr>
        <w:pStyle w:val="14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Initialize the operating system and baseline security configuration.</w:t>
      </w:r>
    </w:p>
    <w:p w14:paraId="4F5E3A9C">
      <w:pPr>
        <w:pStyle w:val="14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Configure hostnames, internal IP addresses, DNS, NTP, and firewall settings.</w:t>
      </w:r>
    </w:p>
    <w:p w14:paraId="66BC8B0E">
      <w:pPr>
        <w:pStyle w:val="14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Mount data disks and configure automatic mounting at startup.</w:t>
      </w:r>
    </w:p>
    <w:p w14:paraId="398438CB">
      <w:pPr>
        <w:pStyle w:val="14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Install Docker or the runtime required by the project.</w:t>
      </w:r>
    </w:p>
    <w:p w14:paraId="545B5A31">
      <w:pPr>
        <w:pStyle w:val="14"/>
        <w:numPr>
          <w:ilvl w:val="0"/>
          <w:numId w:val="10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Configure system logs, disk monitoring, and baseline alerts.</w:t>
      </w:r>
    </w:p>
    <w:p w14:paraId="7A8B747E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6.2 Database HA Deployment</w:t>
      </w:r>
    </w:p>
    <w:p w14:paraId="75A921A0">
      <w:pPr>
        <w:pStyle w:val="14"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Deploy database services on the database nodes.</w:t>
      </w:r>
    </w:p>
    <w:p w14:paraId="1DBF42D3">
      <w:pPr>
        <w:pStyle w:val="14"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Configure database HA using MySQL InnoDB Cluster.</w:t>
      </w:r>
    </w:p>
    <w:p w14:paraId="4E548CE3">
      <w:pPr>
        <w:pStyle w:val="14"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Confirm the primary node, replica nodes, replication status, and failover capability.</w:t>
      </w:r>
    </w:p>
    <w:p w14:paraId="501C8F46">
      <w:pPr>
        <w:pStyle w:val="14"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Create the databases, users, and permissions required by the business system.</w:t>
      </w:r>
    </w:p>
    <w:p w14:paraId="70E51501">
      <w:pPr>
        <w:pStyle w:val="14"/>
        <w:numPr>
          <w:ilvl w:val="0"/>
          <w:numId w:val="11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Restore the migrated data and perform consistency validation.</w:t>
      </w:r>
    </w:p>
    <w:p w14:paraId="6608B92F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6.3 MinIO HA Deployment</w:t>
      </w:r>
    </w:p>
    <w:p w14:paraId="6B800E2B">
      <w:pPr>
        <w:pStyle w:val="14"/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Configure dedicated data disks, service parameters, the console, and internal access addresses.</w:t>
      </w:r>
    </w:p>
    <w:p w14:paraId="4099CBE7">
      <w:pPr>
        <w:pStyle w:val="14"/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Create buckets, users, policies, and access permissions.</w:t>
      </w:r>
    </w:p>
    <w:p w14:paraId="12059F7E">
      <w:pPr>
        <w:pStyle w:val="14"/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Configure bucket replication and confirm that object synchronization from the primary-write node to standby nodes is normal.</w:t>
      </w:r>
    </w:p>
    <w:p w14:paraId="350F050B">
      <w:pPr>
        <w:pStyle w:val="14"/>
        <w:numPr>
          <w:ilvl w:val="0"/>
          <w:numId w:val="12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Restore object data and validate read/write operations, synchronization, and failover.</w:t>
      </w:r>
    </w:p>
    <w:p w14:paraId="35CB83BC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6.4 Application HA Deployment</w:t>
      </w:r>
    </w:p>
    <w:p w14:paraId="6F8D625A">
      <w:pPr>
        <w:pStyle w:val="14"/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Deploy multiple business service instances on the application nodes.</w:t>
      </w:r>
    </w:p>
    <w:p w14:paraId="30561EB5">
      <w:pPr>
        <w:pStyle w:val="14"/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Connect applications to the new database and new MinIO.</w:t>
      </w:r>
    </w:p>
    <w:p w14:paraId="435CD98A">
      <w:pPr>
        <w:pStyle w:val="14"/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Configure service health checks.</w:t>
      </w:r>
    </w:p>
    <w:p w14:paraId="06D9BE9D">
      <w:pPr>
        <w:pStyle w:val="14"/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Configure backend nodes for load balancing.</w:t>
      </w:r>
    </w:p>
    <w:p w14:paraId="3981CA31">
      <w:pPr>
        <w:pStyle w:val="14"/>
        <w:numPr>
          <w:ilvl w:val="0"/>
          <w:numId w:val="13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Validate application startup, logs, APIs, login, and core business flows.</w:t>
      </w:r>
    </w:p>
    <w:p w14:paraId="6DD5623E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7. Database and MinIO Restore Procedure</w:t>
      </w:r>
    </w:p>
    <w:p w14:paraId="6C2B8A50">
      <w:pPr>
        <w:spacing w:before="0" w:after="120" w:line="264" w:lineRule="auto"/>
      </w:pPr>
      <w:r>
        <w:rPr>
          <w:rFonts w:ascii="Calibri" w:hAnsi="Calibri" w:eastAsia="微软雅黑"/>
          <w:b w:val="0"/>
          <w:sz w:val="22"/>
        </w:rPr>
        <w:t>The formal restore sequence is as follows:</w:t>
      </w:r>
    </w:p>
    <w:p w14:paraId="174BE806">
      <w:pPr>
        <w:pStyle w:val="14"/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Confirm that the new database HA cluster is healthy.</w:t>
      </w:r>
    </w:p>
    <w:p w14:paraId="7B0494C6">
      <w:pPr>
        <w:pStyle w:val="14"/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Restore the final database backup to the new database.</w:t>
      </w:r>
    </w:p>
    <w:p w14:paraId="4CECD5A6">
      <w:pPr>
        <w:pStyle w:val="14"/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Validate database integrity and core business data.</w:t>
      </w:r>
    </w:p>
    <w:p w14:paraId="0CA9417E">
      <w:pPr>
        <w:pStyle w:val="14"/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Confirm that MinIO service status and bucket replication status are healthy.</w:t>
      </w:r>
    </w:p>
    <w:p w14:paraId="1AE9B5A9">
      <w:pPr>
        <w:pStyle w:val="14"/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Restore the final MinIO object data and metadata to the new MinIO.</w:t>
      </w:r>
    </w:p>
    <w:p w14:paraId="0F53B22E">
      <w:pPr>
        <w:pStyle w:val="14"/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Validate object counts, key files, and access permissions.</w:t>
      </w:r>
    </w:p>
    <w:p w14:paraId="7CE1685A">
      <w:pPr>
        <w:pStyle w:val="14"/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Modify application configuration so that applications connect to the new database and new MinIO.</w:t>
      </w:r>
    </w:p>
    <w:p w14:paraId="2369FA7A">
      <w:pPr>
        <w:pStyle w:val="14"/>
        <w:numPr>
          <w:ilvl w:val="0"/>
          <w:numId w:val="14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Start application services and run full business validation.</w:t>
      </w:r>
    </w:p>
    <w:p w14:paraId="63B2EA33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8. DNS Validation Plan</w:t>
      </w:r>
    </w:p>
    <w:p w14:paraId="06F106FE">
      <w:pPr>
        <w:spacing w:before="0" w:after="120" w:line="264" w:lineRule="auto"/>
      </w:pPr>
      <w:r>
        <w:rPr>
          <w:rFonts w:ascii="Calibri" w:hAnsi="Calibri" w:eastAsia="微软雅黑"/>
          <w:b w:val="0"/>
          <w:sz w:val="22"/>
        </w:rPr>
        <w:t>This migration does not include a DNS cutover. It only validates DNS resolution, entry-point connectivity, and pre-migration entry records.</w:t>
      </w:r>
    </w:p>
    <w:p w14:paraId="543AD3E1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8.1 Pre-Migration Preparation</w:t>
      </w:r>
    </w:p>
    <w:p w14:paraId="3DED2627">
      <w:pPr>
        <w:pStyle w:val="14"/>
        <w:numPr>
          <w:ilvl w:val="0"/>
          <w:numId w:val="15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Confirm the current business domain resolution records, TTL, certificates, and load-balancing entry point.</w:t>
      </w:r>
    </w:p>
    <w:p w14:paraId="09BFCC79">
      <w:pPr>
        <w:pStyle w:val="14"/>
        <w:numPr>
          <w:ilvl w:val="0"/>
          <w:numId w:val="15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Confirm the public IP, certificates, and load-balancing configuration for the new HA entry point.</w:t>
      </w:r>
    </w:p>
    <w:p w14:paraId="6ABAEEDF">
      <w:pPr>
        <w:pStyle w:val="14"/>
        <w:numPr>
          <w:ilvl w:val="0"/>
          <w:numId w:val="15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Confirm that health checks in the new environment pass.</w:t>
      </w:r>
    </w:p>
    <w:p w14:paraId="420D0CD1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8.2 Formal Validation</w:t>
      </w:r>
    </w:p>
    <w:p w14:paraId="249E3528">
      <w:pPr>
        <w:pStyle w:val="14"/>
        <w:numPr>
          <w:ilvl w:val="0"/>
          <w:numId w:val="16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Put the business system into maintenance or read-only mode.</w:t>
      </w:r>
    </w:p>
    <w:p w14:paraId="24A89BFF">
      <w:pPr>
        <w:pStyle w:val="14"/>
        <w:numPr>
          <w:ilvl w:val="0"/>
          <w:numId w:val="16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Complete the final database and MinIO synchronization.</w:t>
      </w:r>
    </w:p>
    <w:p w14:paraId="59CB65CC">
      <w:pPr>
        <w:pStyle w:val="14"/>
        <w:numPr>
          <w:ilvl w:val="0"/>
          <w:numId w:val="16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Complete business validation in the new environment.</w:t>
      </w:r>
    </w:p>
    <w:p w14:paraId="7D8FB0FB">
      <w:pPr>
        <w:pStyle w:val="14"/>
        <w:numPr>
          <w:ilvl w:val="0"/>
          <w:numId w:val="16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Verify that the business domain still resolves to the current new DNS entry point.</w:t>
      </w:r>
    </w:p>
    <w:p w14:paraId="7F447F44">
      <w:pPr>
        <w:pStyle w:val="14"/>
        <w:numPr>
          <w:ilvl w:val="0"/>
          <w:numId w:val="16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Run multi-region DNS resolution validation.</w:t>
      </w:r>
    </w:p>
    <w:p w14:paraId="2BD72CE7">
      <w:pPr>
        <w:pStyle w:val="14"/>
        <w:numPr>
          <w:ilvl w:val="0"/>
          <w:numId w:val="16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Validate access, login, core APIs, and file upload/download.</w:t>
      </w:r>
    </w:p>
    <w:p w14:paraId="0B2396D7">
      <w:pPr>
        <w:pStyle w:val="4"/>
      </w:pPr>
      <w:r>
        <w:rPr>
          <w:rFonts w:ascii="Calibri" w:hAnsi="Calibri" w:eastAsia="微软雅黑"/>
          <w:b/>
          <w:color w:val="2E74B5"/>
          <w:sz w:val="26"/>
        </w:rPr>
        <w:t>8.3 Post-Validation Observation</w:t>
      </w:r>
    </w:p>
    <w:p w14:paraId="5384CEB3">
      <w:pPr>
        <w:spacing w:before="0" w:after="120" w:line="264" w:lineRule="auto"/>
      </w:pPr>
      <w:r>
        <w:rPr>
          <w:rFonts w:ascii="Calibri" w:hAnsi="Calibri" w:eastAsia="微软雅黑"/>
          <w:b w:val="0"/>
          <w:sz w:val="22"/>
        </w:rPr>
        <w:t>Continue observing for 24-72 hours after migration:</w:t>
      </w:r>
    </w:p>
    <w:p w14:paraId="3808729B">
      <w:pPr>
        <w:pStyle w:val="16"/>
        <w:numPr>
          <w:ilvl w:val="0"/>
          <w:numId w:val="17"/>
        </w:numPr>
        <w:spacing w:before="0" w:after="160" w:line="280" w:lineRule="auto"/>
        <w:ind w:leftChars="0"/>
      </w:pPr>
      <w:r>
        <w:rPr>
          <w:rFonts w:ascii="Calibri" w:hAnsi="Calibri" w:eastAsia="微软雅黑"/>
          <w:b w:val="0"/>
          <w:sz w:val="22"/>
        </w:rPr>
        <w:t>Application error rate.</w:t>
      </w:r>
    </w:p>
    <w:p w14:paraId="21985B0D">
      <w:pPr>
        <w:pStyle w:val="16"/>
        <w:numPr>
          <w:ilvl w:val="0"/>
          <w:numId w:val="17"/>
        </w:numPr>
        <w:spacing w:before="0" w:after="160" w:line="280" w:lineRule="auto"/>
        <w:ind w:left="360" w:leftChars="0" w:hanging="360" w:firstLineChars="0"/>
      </w:pPr>
      <w:r>
        <w:rPr>
          <w:rFonts w:ascii="Calibri" w:hAnsi="Calibri" w:eastAsia="微软雅黑"/>
          <w:b w:val="0"/>
          <w:sz w:val="22"/>
        </w:rPr>
        <w:t>API latency.</w:t>
      </w:r>
    </w:p>
    <w:p w14:paraId="1EFDEAAD">
      <w:pPr>
        <w:pStyle w:val="16"/>
        <w:numPr>
          <w:ilvl w:val="0"/>
          <w:numId w:val="17"/>
        </w:numPr>
        <w:spacing w:before="0" w:after="160" w:line="280" w:lineRule="auto"/>
        <w:ind w:left="360" w:leftChars="0" w:hanging="360" w:firstLineChars="0"/>
      </w:pPr>
      <w:r>
        <w:rPr>
          <w:rFonts w:ascii="Calibri" w:hAnsi="Calibri" w:eastAsia="微软雅黑"/>
          <w:b w:val="0"/>
          <w:sz w:val="22"/>
        </w:rPr>
        <w:t>Database connection count, replication status, and slow queries.</w:t>
      </w:r>
    </w:p>
    <w:p w14:paraId="383D0516">
      <w:pPr>
        <w:pStyle w:val="16"/>
        <w:numPr>
          <w:ilvl w:val="0"/>
          <w:numId w:val="17"/>
        </w:numPr>
        <w:spacing w:before="0" w:after="160" w:line="280" w:lineRule="auto"/>
        <w:ind w:left="360" w:leftChars="0" w:hanging="360" w:firstLineChars="0"/>
      </w:pPr>
      <w:r>
        <w:rPr>
          <w:rFonts w:ascii="Calibri" w:hAnsi="Calibri" w:eastAsia="微软雅黑"/>
          <w:b w:val="0"/>
          <w:sz w:val="22"/>
        </w:rPr>
        <w:t>MinIO node status, bucket replication status, disk usage, and object read/write activity.</w:t>
      </w:r>
    </w:p>
    <w:p w14:paraId="5CAA7E88">
      <w:pPr>
        <w:pStyle w:val="16"/>
        <w:numPr>
          <w:ilvl w:val="0"/>
          <w:numId w:val="17"/>
        </w:numPr>
        <w:spacing w:before="0" w:after="160" w:line="280" w:lineRule="auto"/>
        <w:ind w:left="360" w:leftChars="0" w:hanging="360" w:firstLineChars="0"/>
      </w:pPr>
      <w:r>
        <w:rPr>
          <w:rFonts w:ascii="Calibri" w:hAnsi="Calibri" w:eastAsia="微软雅黑"/>
          <w:b w:val="0"/>
          <w:sz w:val="22"/>
        </w:rPr>
        <w:t>Load balancer health checks.</w:t>
      </w:r>
    </w:p>
    <w:p w14:paraId="39941D01">
      <w:pPr>
        <w:pStyle w:val="16"/>
        <w:numPr>
          <w:ilvl w:val="0"/>
          <w:numId w:val="17"/>
        </w:numPr>
        <w:spacing w:before="0" w:after="160" w:line="280" w:lineRule="auto"/>
        <w:ind w:left="360" w:leftChars="0" w:hanging="360" w:firstLineChars="0"/>
      </w:pPr>
      <w:r>
        <w:rPr>
          <w:rFonts w:ascii="Calibri" w:hAnsi="Calibri" w:eastAsia="微软雅黑"/>
          <w:b w:val="0"/>
          <w:sz w:val="22"/>
        </w:rPr>
        <w:t>Server CPU, memory, disk, and network traffic.</w:t>
      </w:r>
    </w:p>
    <w:p w14:paraId="54E44408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9. Legacy Environment</w:t>
      </w:r>
    </w:p>
    <w:p w14:paraId="3409DE04">
      <w:pPr>
        <w:pStyle w:val="14"/>
        <w:numPr>
          <w:ilvl w:val="0"/>
          <w:numId w:val="18"/>
        </w:numPr>
        <w:spacing w:before="0" w:after="160" w:line="280" w:lineRule="auto"/>
      </w:pPr>
      <w:r>
        <w:rPr>
          <w:rFonts w:ascii="Calibri" w:hAnsi="Calibri" w:eastAsia="微软雅黑"/>
          <w:b w:val="0"/>
          <w:sz w:val="22"/>
        </w:rPr>
        <w:t>Release the legacy environment directly before deploying the new environment.</w:t>
      </w:r>
    </w:p>
    <w:p w14:paraId="30E297CC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10. Acceptance Criteria</w:t>
      </w:r>
    </w:p>
    <w:p w14:paraId="0946206F">
      <w:pPr>
        <w:spacing w:before="0" w:after="120" w:line="264" w:lineRule="auto"/>
      </w:pPr>
      <w:r>
        <w:rPr>
          <w:rFonts w:ascii="Calibri" w:hAnsi="Calibri" w:eastAsia="微软雅黑"/>
          <w:b w:val="0"/>
          <w:sz w:val="22"/>
        </w:rPr>
        <w:t>After the migration is complete, acceptance will be based on the following criteria:</w:t>
      </w:r>
    </w:p>
    <w:p w14:paraId="0BB51D29">
      <w:pPr>
        <w:pStyle w:val="16"/>
        <w:numPr>
          <w:ilvl w:val="0"/>
          <w:numId w:val="19"/>
        </w:numPr>
        <w:spacing w:before="0" w:after="160" w:line="280" w:lineRule="auto"/>
        <w:ind w:leftChars="0"/>
      </w:pPr>
      <w:r>
        <w:rPr>
          <w:rFonts w:ascii="Calibri" w:hAnsi="Calibri" w:eastAsia="微软雅黑"/>
          <w:b w:val="0"/>
          <w:sz w:val="22"/>
        </w:rPr>
        <w:t>The new HA entry point is accessible normally.</w:t>
      </w:r>
    </w:p>
    <w:p w14:paraId="15566B33">
      <w:pPr>
        <w:pStyle w:val="16"/>
        <w:numPr>
          <w:ilvl w:val="0"/>
          <w:numId w:val="19"/>
        </w:numPr>
        <w:spacing w:before="0" w:after="160" w:line="280" w:lineRule="auto"/>
        <w:ind w:left="360" w:leftChars="0" w:hanging="360" w:firstLineChars="0"/>
      </w:pPr>
      <w:r>
        <w:rPr>
          <w:rFonts w:ascii="Calibri" w:hAnsi="Calibri" w:eastAsia="微软雅黑"/>
          <w:b w:val="0"/>
          <w:sz w:val="22"/>
        </w:rPr>
        <w:t>Core application business flows pass validation.</w:t>
      </w:r>
    </w:p>
    <w:p w14:paraId="457A24B7">
      <w:pPr>
        <w:pStyle w:val="16"/>
        <w:numPr>
          <w:ilvl w:val="0"/>
          <w:numId w:val="19"/>
        </w:numPr>
        <w:spacing w:before="0" w:after="160" w:line="280" w:lineRule="auto"/>
        <w:ind w:left="360" w:leftChars="0" w:hanging="360" w:firstLineChars="0"/>
      </w:pPr>
      <w:r>
        <w:rPr>
          <w:rFonts w:ascii="Calibri" w:hAnsi="Calibri" w:eastAsia="微软雅黑"/>
          <w:b w:val="0"/>
          <w:sz w:val="22"/>
        </w:rPr>
        <w:t>Database HA status is normal and data is complete.</w:t>
      </w:r>
    </w:p>
    <w:p w14:paraId="22C38877">
      <w:pPr>
        <w:pStyle w:val="16"/>
        <w:numPr>
          <w:ilvl w:val="0"/>
          <w:numId w:val="19"/>
        </w:numPr>
        <w:spacing w:before="0" w:after="160" w:line="280" w:lineRule="auto"/>
        <w:ind w:left="360" w:leftChars="0" w:hanging="360" w:firstLineChars="0"/>
      </w:pPr>
      <w:r>
        <w:rPr>
          <w:rFonts w:ascii="Calibri" w:hAnsi="Calibri" w:eastAsia="微软雅黑"/>
          <w:b w:val="0"/>
          <w:sz w:val="22"/>
        </w:rPr>
        <w:t>The MinIO cluster status is normal, bucket replication is normal, and core files are accessible.</w:t>
      </w:r>
    </w:p>
    <w:p w14:paraId="5165E42C">
      <w:pPr>
        <w:pStyle w:val="16"/>
        <w:numPr>
          <w:ilvl w:val="0"/>
          <w:numId w:val="19"/>
        </w:numPr>
        <w:spacing w:before="0" w:after="160" w:line="280" w:lineRule="auto"/>
        <w:ind w:left="360" w:leftChars="0" w:hanging="360" w:firstLineChars="0"/>
      </w:pPr>
      <w:r>
        <w:rPr>
          <w:rFonts w:ascii="Calibri" w:hAnsi="Calibri" w:eastAsia="微软雅黑"/>
          <w:b w:val="0"/>
          <w:sz w:val="22"/>
        </w:rPr>
        <w:t>Current new DNS resolution and entry-point access validation pass.</w:t>
      </w:r>
    </w:p>
    <w:p w14:paraId="4C481511">
      <w:pPr>
        <w:pStyle w:val="16"/>
        <w:numPr>
          <w:ilvl w:val="0"/>
          <w:numId w:val="19"/>
        </w:numPr>
        <w:spacing w:before="0" w:after="160" w:line="280" w:lineRule="auto"/>
        <w:ind w:left="360" w:leftChars="0" w:hanging="360" w:firstLineChars="0"/>
      </w:pPr>
      <w:r>
        <w:rPr>
          <w:rFonts w:ascii="Calibri" w:hAnsi="Calibri" w:eastAsia="微软雅黑"/>
          <w:b w:val="0"/>
          <w:sz w:val="22"/>
        </w:rPr>
        <w:t>Migration logs, backup files, and validation records are complete and retained.</w:t>
      </w:r>
    </w:p>
    <w:p w14:paraId="04B3A1EC">
      <w:pPr>
        <w:pStyle w:val="16"/>
        <w:numPr>
          <w:ilvl w:val="0"/>
          <w:numId w:val="19"/>
        </w:numPr>
        <w:spacing w:before="0" w:after="160" w:line="280" w:lineRule="auto"/>
        <w:ind w:left="360" w:leftChars="0" w:hanging="360" w:firstLineChars="0"/>
      </w:pPr>
      <w:r>
        <w:rPr>
          <w:rFonts w:ascii="Calibri" w:hAnsi="Calibri" w:eastAsia="微软雅黑"/>
          <w:b w:val="0"/>
          <w:sz w:val="22"/>
        </w:rPr>
        <w:t>Business availability is confirmed and acceptance sign-off or email confirmation is completed.</w:t>
      </w:r>
    </w:p>
    <w:p w14:paraId="02B29F3A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11. Coordination Items</w:t>
      </w:r>
    </w:p>
    <w:p w14:paraId="09C7BECD">
      <w:pPr>
        <w:spacing w:before="0" w:after="120" w:line="264" w:lineRule="auto"/>
      </w:pPr>
      <w:r>
        <w:rPr>
          <w:rFonts w:ascii="Calibri" w:hAnsi="Calibri" w:eastAsia="微软雅黑"/>
          <w:b w:val="0"/>
          <w:sz w:val="22"/>
        </w:rPr>
        <w:t>The customer side needs to confirm the following items in advance:</w:t>
      </w:r>
    </w:p>
    <w:p w14:paraId="234117E7">
      <w:pPr>
        <w:pStyle w:val="16"/>
        <w:numPr>
          <w:ilvl w:val="0"/>
          <w:numId w:val="20"/>
        </w:numPr>
        <w:spacing w:before="0" w:after="160" w:line="280" w:lineRule="auto"/>
        <w:ind w:leftChars="0"/>
      </w:pPr>
      <w:r>
        <w:rPr>
          <w:rFonts w:ascii="Calibri" w:hAnsi="Calibri" w:eastAsia="微软雅黑"/>
          <w:b w:val="0"/>
          <w:sz w:val="22"/>
        </w:rPr>
        <w:t>New environment server resources and network policies.</w:t>
      </w:r>
    </w:p>
    <w:p w14:paraId="7388B102">
      <w:pPr>
        <w:pStyle w:val="16"/>
        <w:numPr>
          <w:ilvl w:val="0"/>
          <w:numId w:val="20"/>
        </w:numPr>
        <w:spacing w:before="0" w:after="160" w:line="280" w:lineRule="auto"/>
        <w:ind w:left="360" w:leftChars="0" w:hanging="360" w:firstLineChars="0"/>
      </w:pPr>
      <w:r>
        <w:rPr>
          <w:rFonts w:ascii="Calibri" w:hAnsi="Calibri" w:eastAsia="微软雅黑"/>
          <w:b w:val="0"/>
          <w:sz w:val="22"/>
        </w:rPr>
        <w:t>Current DNS records, certificates, and the confirmation owner for entry-point configuration.</w:t>
      </w:r>
    </w:p>
    <w:p w14:paraId="0739606D">
      <w:pPr>
        <w:pStyle w:val="3"/>
      </w:pPr>
      <w:r>
        <w:rPr>
          <w:rFonts w:ascii="Calibri" w:hAnsi="Calibri" w:eastAsia="微软雅黑"/>
          <w:b/>
          <w:color w:val="2E74B5"/>
          <w:sz w:val="32"/>
        </w:rPr>
        <w:t>12. Migration-Day Checklist</w:t>
      </w:r>
    </w:p>
    <w:tbl>
      <w:tblPr>
        <w:tblStyle w:val="33"/>
        <w:tblW w:w="9360" w:type="dxa"/>
        <w:tblInd w:w="120" w:type="dxa"/>
        <w:tblBorders>
          <w:top w:val="single" w:color="D9DEE7" w:sz="6" w:space="0"/>
          <w:left w:val="single" w:color="D9DEE7" w:sz="6" w:space="0"/>
          <w:bottom w:val="single" w:color="D9DEE7" w:sz="6" w:space="0"/>
          <w:right w:val="single" w:color="D9DEE7" w:sz="6" w:space="0"/>
          <w:insideH w:val="single" w:color="D9DEE7" w:sz="6" w:space="0"/>
          <w:insideV w:val="single" w:color="D9DEE7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0"/>
        <w:gridCol w:w="5760"/>
      </w:tblGrid>
      <w:tr w14:paraId="1BEFBC38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C6993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/>
                <w:sz w:val="20"/>
              </w:rPr>
              <w:t>Checklist Item</w:t>
            </w:r>
          </w:p>
        </w:tc>
        <w:tc>
          <w:tcPr>
            <w:tcW w:w="5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19212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/>
                <w:sz w:val="20"/>
              </w:rPr>
              <w:t>Status</w:t>
            </w:r>
          </w:p>
        </w:tc>
      </w:tr>
      <w:tr w14:paraId="70198C1B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362D4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Business stakeholders have been notified of the migration window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EA345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Pending confirmation</w:t>
            </w:r>
          </w:p>
        </w:tc>
      </w:tr>
      <w:tr w14:paraId="5C2C3037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57F4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Current new DNS resolution has been confirmed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16621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Pending confirmation</w:t>
            </w:r>
          </w:p>
        </w:tc>
      </w:tr>
      <w:tr w14:paraId="48F1478B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0C704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New server resources are ready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CBCAA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Pending confirmation</w:t>
            </w:r>
          </w:p>
        </w:tc>
      </w:tr>
      <w:tr w14:paraId="769DB541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0D31A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Database cluster has been deployed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A49D5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Pending confirmation</w:t>
            </w:r>
          </w:p>
        </w:tc>
      </w:tr>
      <w:tr w14:paraId="31DF3DB3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D5F59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MinIO cluster has been deployed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8BBA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Pending confirmation</w:t>
            </w:r>
          </w:p>
        </w:tc>
      </w:tr>
      <w:tr w14:paraId="609E625F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BB4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Application services have been deployed to the new environment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32E14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Pending confirmation</w:t>
            </w:r>
          </w:p>
        </w:tc>
      </w:tr>
      <w:tr w14:paraId="5571AC4D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68965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Final database backup has been completed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2A7EB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Pending confirmation</w:t>
            </w:r>
          </w:p>
        </w:tc>
      </w:tr>
      <w:tr w14:paraId="0379BDE2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CF13E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Final MinIO synchronization has been completed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3894F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Pending confirmation</w:t>
            </w:r>
          </w:p>
        </w:tc>
      </w:tr>
      <w:tr w14:paraId="65353F2D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B5D24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Database restore validation has passed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4E557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Pending confirmation</w:t>
            </w:r>
          </w:p>
        </w:tc>
      </w:tr>
      <w:tr w14:paraId="2AEFB806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4D5F5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MinIO restore validation has passed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FD440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Pending confirmation</w:t>
            </w:r>
          </w:p>
        </w:tc>
      </w:tr>
      <w:tr w14:paraId="589AC6B3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9F1F1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Business validation in the new environment has passed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3E16C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Pending confirmation</w:t>
            </w:r>
          </w:p>
        </w:tc>
      </w:tr>
      <w:tr w14:paraId="3F02FCBC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5E9FD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DNS resolution and entry-point access have been validated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C1B5D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Pending confirmation</w:t>
            </w:r>
          </w:p>
        </w:tc>
      </w:tr>
      <w:tr w14:paraId="33A30A05">
        <w:tblPrEx>
          <w:tblBorders>
            <w:top w:val="single" w:color="D9DEE7" w:sz="6" w:space="0"/>
            <w:left w:val="single" w:color="D9DEE7" w:sz="6" w:space="0"/>
            <w:bottom w:val="single" w:color="D9DEE7" w:sz="6" w:space="0"/>
            <w:right w:val="single" w:color="D9DEE7" w:sz="6" w:space="0"/>
            <w:insideH w:val="single" w:color="D9DEE7" w:sz="6" w:space="0"/>
            <w:insideV w:val="single" w:color="D9DEE7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99827">
            <w:pPr>
              <w:spacing w:before="0"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sz w:val="20"/>
              </w:rPr>
              <w:t>Post-migration monitoring is normal</w:t>
            </w:r>
          </w:p>
        </w:tc>
        <w:tc>
          <w:tcPr>
            <w:tcW w:w="5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F8640">
            <w:pPr>
              <w:spacing w:before="0" w:after="0" w:line="264" w:lineRule="auto"/>
              <w:jc w:val="center"/>
            </w:pPr>
            <w:r>
              <w:rPr>
                <w:rFonts w:ascii="Calibri" w:hAnsi="Calibri" w:eastAsia="微软雅黑"/>
                <w:b w:val="0"/>
                <w:sz w:val="20"/>
              </w:rPr>
              <w:t>Pending confirmation</w:t>
            </w:r>
          </w:p>
        </w:tc>
      </w:tr>
    </w:tbl>
    <w:p w14:paraId="5DA5B874">
      <w:pPr>
        <w:spacing w:before="0" w:after="160" w:line="240" w:lineRule="auto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A1C501">
    <w:pPr>
      <w:pStyle w:val="24"/>
      <w:jc w:val="right"/>
    </w:pPr>
    <w:r>
      <w:rPr>
        <w:rFonts w:ascii="Calibri" w:hAnsi="Calibri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08ED0">
    <w:pPr>
      <w:pStyle w:val="25"/>
      <w:jc w:val="right"/>
    </w:pPr>
    <w:r>
      <w:rPr>
        <w:rFonts w:ascii="Calibri" w:hAnsi="Calibri" w:eastAsia="微软雅黑"/>
        <w:color w:val="666666"/>
        <w:sz w:val="18"/>
      </w:rPr>
      <w:t>Algeria Project Migration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5EB69BC"/>
    <w:multiLevelType w:val="singleLevel"/>
    <w:tmpl w:val="A5EB69BC"/>
    <w:lvl w:ilvl="0" w:tentative="0">
      <w:start w:val="1"/>
      <w:numFmt w:val="decimal"/>
      <w:lvlText w:val="%1."/>
      <w:lvlJc w:val="left"/>
    </w:lvl>
  </w:abstractNum>
  <w:abstractNum w:abstractNumId="1">
    <w:nsid w:val="C3FF6635"/>
    <w:multiLevelType w:val="singleLevel"/>
    <w:tmpl w:val="C3FF6635"/>
    <w:lvl w:ilvl="0" w:tentative="0">
      <w:start w:val="1"/>
      <w:numFmt w:val="decimal"/>
      <w:lvlText w:val="%1."/>
      <w:lvlJc w:val="left"/>
    </w:lvl>
  </w:abstractNum>
  <w:abstractNum w:abstractNumId="2">
    <w:nsid w:val="CB9A7F57"/>
    <w:multiLevelType w:val="singleLevel"/>
    <w:tmpl w:val="CB9A7F57"/>
    <w:lvl w:ilvl="0" w:tentative="0">
      <w:start w:val="1"/>
      <w:numFmt w:val="decimal"/>
      <w:lvlText w:val="%1."/>
      <w:lvlJc w:val="left"/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9">
    <w:nsid w:val="42E35F8E"/>
    <w:multiLevelType w:val="singleLevel"/>
    <w:tmpl w:val="42E35F8E"/>
    <w:lvl w:ilvl="0" w:tentative="0">
      <w:start w:val="1"/>
      <w:numFmt w:val="decimal"/>
      <w:lvlText w:val="%1."/>
      <w:lvlJc w:val="left"/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9"/>
  </w:num>
  <w:num w:numId="8">
    <w:abstractNumId w:val="7"/>
    <w:lvlOverride w:ilvl="0">
      <w:startOverride w:val="1"/>
    </w:lvlOverride>
  </w:num>
  <w:num w:numId="9">
    <w:abstractNumId w:val="7"/>
    <w:lvlOverride w:ilvl="0">
      <w:startOverride w:val="1"/>
    </w:lvlOverride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0"/>
  </w:num>
  <w:num w:numId="18">
    <w:abstractNumId w:val="7"/>
    <w:lvlOverride w:ilvl="0">
      <w:startOverride w:val="1"/>
    </w:lvlOverride>
  </w:num>
  <w:num w:numId="19">
    <w:abstractNumId w:val="2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797F78"/>
    <w:rsid w:val="0AC74282"/>
    <w:rsid w:val="1C273FB9"/>
    <w:rsid w:val="1CBC0C2D"/>
    <w:rsid w:val="30C75688"/>
    <w:rsid w:val="316E4588"/>
    <w:rsid w:val="525A6192"/>
    <w:rsid w:val="57007F34"/>
    <w:rsid w:val="6B0A6C14"/>
    <w:rsid w:val="6B8D5A15"/>
    <w:rsid w:val="77060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64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64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64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1114</Words>
  <Characters>6870</Characters>
  <Lines>0</Lines>
  <Paragraphs>0</Paragraphs>
  <TotalTime>1</TotalTime>
  <ScaleCrop>false</ScaleCrop>
  <LinksUpToDate>false</LinksUpToDate>
  <CharactersWithSpaces>7828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AIFAR</dc:creator>
  <dc:description>generated by python-docx</dc:description>
  <cp:keywords>AIFAR, Algeria, migration, HA, DNS, MinIO, MySQL</cp:keywords>
  <cp:lastModifiedBy>邓钥心</cp:lastModifiedBy>
  <dcterms:modified xsi:type="dcterms:W3CDTF">2026-07-09T09:25:16Z</dcterms:modified>
  <dc:subject>Migration Plan</dc:subject>
  <dc:title>Algeria Project Migration Plan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eyJoZGlkIjoiZWRhNThkNzc4NTM2MzBkZTA4MTg5MGNiYzFiZDFjYWIiLCJ1c2VySWQiOiI0OTM3NDAwNjAifQ==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661CADA06B254F7E9FBCBA886CF95EBC_12</vt:lpwstr>
  </property>
</Properties>
</file>