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FFD787">
      <w:pPr>
        <w:spacing w:before="0" w:after="80" w:line="264" w:lineRule="auto"/>
        <w:jc w:val="center"/>
      </w:pPr>
      <w:r>
        <w:rPr>
          <w:rFonts w:ascii="Calibri" w:hAnsi="Calibri" w:eastAsia="微软雅黑"/>
          <w:b/>
          <w:color w:val="0B2545"/>
          <w:sz w:val="44"/>
        </w:rPr>
        <w:t>阿尔及利亚项目迁移计划</w:t>
      </w:r>
    </w:p>
    <w:p w14:paraId="5F84F28E">
      <w:pPr>
        <w:spacing w:before="0" w:after="280" w:line="240" w:lineRule="auto"/>
        <w:jc w:val="center"/>
      </w:pPr>
      <w:r>
        <w:rPr>
          <w:rFonts w:ascii="Calibri" w:hAnsi="Calibri" w:eastAsia="微软雅黑"/>
          <w:color w:val="666666"/>
          <w:sz w:val="20"/>
        </w:rPr>
        <w:t>迁移执行版 | 高可用部署、数据迁移与 DNS 核验</w:t>
      </w:r>
    </w:p>
    <w:p w14:paraId="2C63692C">
      <w:pPr>
        <w:pStyle w:val="3"/>
      </w:pPr>
      <w:r>
        <w:rPr>
          <w:rFonts w:ascii="Calibri" w:hAnsi="Calibri" w:eastAsia="微软雅黑"/>
          <w:b/>
          <w:color w:val="2E74B5"/>
          <w:sz w:val="32"/>
        </w:rPr>
        <w:t>1. 迁移目标</w:t>
      </w:r>
    </w:p>
    <w:p w14:paraId="6AF220AE">
      <w:pPr>
        <w:spacing w:before="0" w:after="120" w:line="264" w:lineRule="auto"/>
      </w:pPr>
      <w:r>
        <w:rPr>
          <w:rFonts w:ascii="Calibri" w:hAnsi="Calibri" w:eastAsia="微软雅黑"/>
          <w:b w:val="0"/>
          <w:sz w:val="22"/>
        </w:rPr>
        <w:t>本次迁移目标是将阿尔及利亚项目从现有环境平滑迁移到新的高可用环境，完成数据库和 MinIO 数据迁移、应用服务高可用部署，并对当前启用的 DNS 入口进行核验。</w:t>
      </w:r>
    </w:p>
    <w:p w14:paraId="6C84184E">
      <w:pPr>
        <w:spacing w:before="0" w:after="120" w:line="264" w:lineRule="auto"/>
      </w:pPr>
      <w:r>
        <w:rPr>
          <w:rFonts w:ascii="Calibri" w:hAnsi="Calibri" w:eastAsia="微软雅黑"/>
          <w:b w:val="0"/>
          <w:sz w:val="22"/>
        </w:rPr>
        <w:t>核心目标：</w:t>
      </w:r>
    </w:p>
    <w:p w14:paraId="71AF8591">
      <w:pPr>
        <w:pStyle w:val="16"/>
        <w:numPr>
          <w:ilvl w:val="0"/>
          <w:numId w:val="7"/>
        </w:numPr>
        <w:tabs>
          <w:tab w:val="clear" w:pos="360"/>
        </w:tabs>
        <w:spacing w:before="0" w:after="160" w:line="280" w:lineRule="auto"/>
        <w:ind w:leftChars="0"/>
      </w:pPr>
      <w:r>
        <w:rPr>
          <w:rFonts w:ascii="Calibri" w:hAnsi="Calibri" w:eastAsia="微软雅黑"/>
          <w:b w:val="0"/>
          <w:sz w:val="22"/>
        </w:rPr>
        <w:t>保证数据库和 MinIO 数据完整可恢复。</w:t>
      </w:r>
    </w:p>
    <w:p w14:paraId="256E2481">
      <w:pPr>
        <w:pStyle w:val="16"/>
        <w:numPr>
          <w:ilvl w:val="0"/>
          <w:numId w:val="7"/>
        </w:numPr>
        <w:spacing w:before="0" w:after="160" w:line="280" w:lineRule="auto"/>
        <w:ind w:left="360" w:leftChars="0" w:hanging="360" w:firstLineChars="0"/>
      </w:pPr>
      <w:r>
        <w:rPr>
          <w:rFonts w:ascii="Calibri" w:hAnsi="Calibri" w:eastAsia="微软雅黑"/>
          <w:b w:val="0"/>
          <w:sz w:val="22"/>
        </w:rPr>
        <w:t>新环境具备容灾能力，避免 HA 单点故障。</w:t>
      </w:r>
    </w:p>
    <w:p w14:paraId="60D9D9DF">
      <w:pPr>
        <w:pStyle w:val="16"/>
        <w:numPr>
          <w:ilvl w:val="0"/>
          <w:numId w:val="7"/>
        </w:numPr>
        <w:spacing w:before="0" w:after="160" w:line="280" w:lineRule="auto"/>
        <w:ind w:left="360" w:leftChars="0" w:hanging="360" w:firstLineChars="0"/>
      </w:pPr>
      <w:r>
        <w:rPr>
          <w:rFonts w:ascii="Calibri" w:hAnsi="Calibri" w:eastAsia="微软雅黑"/>
          <w:b w:val="0"/>
          <w:sz w:val="22"/>
        </w:rPr>
        <w:t>DNS，迁移期间重点核验解析和入口连通性。</w:t>
      </w:r>
    </w:p>
    <w:p w14:paraId="2B0E0F24">
      <w:pPr>
        <w:pStyle w:val="16"/>
        <w:numPr>
          <w:ilvl w:val="0"/>
          <w:numId w:val="7"/>
        </w:numPr>
        <w:spacing w:before="0" w:after="160" w:line="280" w:lineRule="auto"/>
        <w:ind w:left="360" w:leftChars="0" w:hanging="360" w:firstLineChars="0"/>
      </w:pPr>
      <w:r>
        <w:rPr>
          <w:rFonts w:ascii="Calibri" w:hAnsi="Calibri" w:eastAsia="微软雅黑"/>
          <w:b w:val="0"/>
          <w:sz w:val="22"/>
        </w:rPr>
        <w:t>旧环境在部署新环境前直接释放。</w:t>
      </w:r>
    </w:p>
    <w:p w14:paraId="577CFB87">
      <w:pPr>
        <w:pStyle w:val="3"/>
      </w:pPr>
      <w:r>
        <w:rPr>
          <w:rFonts w:ascii="Calibri" w:hAnsi="Calibri" w:eastAsia="微软雅黑"/>
          <w:b/>
          <w:color w:val="2E74B5"/>
          <w:sz w:val="32"/>
        </w:rPr>
        <w:t>2. 时间计划</w:t>
      </w:r>
    </w:p>
    <w:p w14:paraId="67ECE622">
      <w:pPr>
        <w:spacing w:before="0" w:after="120" w:line="264" w:lineRule="auto"/>
      </w:pPr>
      <w:r>
        <w:rPr>
          <w:rFonts w:ascii="Calibri" w:hAnsi="Calibri" w:eastAsia="微软雅黑"/>
          <w:b w:val="0"/>
          <w:sz w:val="22"/>
        </w:rPr>
        <w:t xml:space="preserve">到现场后，在服务器资源、网络策略和访问权限准备完成的前提下，执行新版本 HA 迁移，预计 </w:t>
      </w:r>
      <w:r>
        <w:rPr>
          <w:rFonts w:ascii="Consolas" w:hAnsi="Consolas" w:eastAsia="微软雅黑"/>
          <w:b w:val="0"/>
          <w:sz w:val="22"/>
        </w:rPr>
        <w:t>24H</w:t>
      </w:r>
      <w:r>
        <w:rPr>
          <w:rFonts w:ascii="Calibri" w:hAnsi="Calibri" w:eastAsia="微软雅黑"/>
          <w:b w:val="0"/>
          <w:sz w:val="22"/>
        </w:rPr>
        <w:t xml:space="preserve"> 完成。</w:t>
      </w:r>
    </w:p>
    <w:p w14:paraId="10E24E81">
      <w:pPr>
        <w:spacing w:before="0" w:after="120" w:line="264" w:lineRule="auto"/>
      </w:pPr>
      <w:r>
        <w:rPr>
          <w:rFonts w:ascii="Calibri" w:hAnsi="Calibri" w:eastAsia="微软雅黑"/>
          <w:b w:val="0"/>
          <w:sz w:val="22"/>
        </w:rPr>
        <w:t>计划节奏：</w:t>
      </w:r>
    </w:p>
    <w:p w14:paraId="34D32139">
      <w:pPr>
        <w:pStyle w:val="14"/>
        <w:spacing w:before="0" w:after="160" w:line="280" w:lineRule="auto"/>
      </w:pPr>
      <w:r>
        <w:rPr>
          <w:rFonts w:ascii="Calibri" w:hAnsi="Calibri" w:eastAsia="微软雅黑"/>
          <w:b w:val="0"/>
          <w:sz w:val="22"/>
        </w:rPr>
        <w:t>检查服务器、网络、磁盘、DNS 和证书等基础条件。</w:t>
      </w:r>
    </w:p>
    <w:p w14:paraId="04C746DA">
      <w:pPr>
        <w:pStyle w:val="14"/>
        <w:spacing w:before="0" w:after="160" w:line="280" w:lineRule="auto"/>
      </w:pPr>
      <w:r>
        <w:rPr>
          <w:rFonts w:ascii="Calibri" w:hAnsi="Calibri" w:eastAsia="微软雅黑"/>
          <w:b w:val="0"/>
          <w:sz w:val="22"/>
        </w:rPr>
        <w:t>执行数据库和 MinIO 迁移前备份。</w:t>
      </w:r>
    </w:p>
    <w:p w14:paraId="6FDEF720">
      <w:pPr>
        <w:pStyle w:val="14"/>
        <w:spacing w:before="0" w:after="160" w:line="280" w:lineRule="auto"/>
      </w:pPr>
      <w:r>
        <w:rPr>
          <w:rFonts w:ascii="Calibri" w:hAnsi="Calibri" w:eastAsia="微软雅黑"/>
          <w:b w:val="0"/>
          <w:sz w:val="22"/>
        </w:rPr>
        <w:t>部署新版本 HA 环境。</w:t>
      </w:r>
    </w:p>
    <w:p w14:paraId="3F6E3A94">
      <w:pPr>
        <w:pStyle w:val="14"/>
        <w:spacing w:before="0" w:after="160" w:line="280" w:lineRule="auto"/>
      </w:pPr>
      <w:r>
        <w:rPr>
          <w:rFonts w:ascii="Calibri" w:hAnsi="Calibri" w:eastAsia="微软雅黑"/>
          <w:b w:val="0"/>
          <w:sz w:val="22"/>
        </w:rPr>
        <w:t>还原数据库和 MinIO 数据。</w:t>
      </w:r>
    </w:p>
    <w:p w14:paraId="75969F1D">
      <w:pPr>
        <w:pStyle w:val="14"/>
        <w:spacing w:before="0" w:after="160" w:line="280" w:lineRule="auto"/>
      </w:pPr>
      <w:r>
        <w:rPr>
          <w:rFonts w:ascii="Calibri" w:hAnsi="Calibri" w:eastAsia="微软雅黑"/>
          <w:b w:val="0"/>
          <w:sz w:val="22"/>
        </w:rPr>
        <w:t>执行业务验证、DNS 入口核验和迁移后观察。</w:t>
      </w:r>
    </w:p>
    <w:p w14:paraId="6C7A2511">
      <w:pPr>
        <w:pStyle w:val="3"/>
      </w:pPr>
      <w:r>
        <w:rPr>
          <w:rFonts w:ascii="Calibri" w:hAnsi="Calibri" w:eastAsia="微软雅黑"/>
          <w:b/>
          <w:color w:val="2E74B5"/>
          <w:sz w:val="32"/>
        </w:rPr>
        <w:t>3. 服务器资源规划</w:t>
      </w:r>
    </w:p>
    <w:p w14:paraId="79267E2A">
      <w:pPr>
        <w:spacing w:before="0" w:after="120" w:line="264" w:lineRule="auto"/>
      </w:pPr>
      <w:r>
        <w:rPr>
          <w:rFonts w:ascii="Calibri" w:hAnsi="Calibri" w:eastAsia="微软雅黑"/>
          <w:b w:val="0"/>
          <w:sz w:val="22"/>
        </w:rPr>
        <w:t>全新资源</w:t>
      </w:r>
    </w:p>
    <w:tbl>
      <w:tblPr>
        <w:tblStyle w:val="33"/>
        <w:tblW w:w="9360" w:type="dxa"/>
        <w:tblInd w:w="120" w:type="dxa"/>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Layout w:type="fixed"/>
        <w:tblCellMar>
          <w:top w:w="0" w:type="dxa"/>
          <w:left w:w="108" w:type="dxa"/>
          <w:bottom w:w="0" w:type="dxa"/>
          <w:right w:w="108" w:type="dxa"/>
        </w:tblCellMar>
      </w:tblPr>
      <w:tblGrid>
        <w:gridCol w:w="1800"/>
        <w:gridCol w:w="1100"/>
        <w:gridCol w:w="3480"/>
        <w:gridCol w:w="2980"/>
      </w:tblGrid>
      <w:tr w14:paraId="5F37E2CF">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rPr>
          <w:tblHeader/>
        </w:trPr>
        <w:tc>
          <w:tcPr>
            <w:tcW w:w="1800" w:type="dxa"/>
            <w:shd w:val="clear" w:color="auto" w:fill="F2F4F7"/>
            <w:tcMar>
              <w:top w:w="80" w:type="dxa"/>
              <w:left w:w="120" w:type="dxa"/>
              <w:bottom w:w="80" w:type="dxa"/>
              <w:right w:w="120" w:type="dxa"/>
            </w:tcMar>
            <w:vAlign w:val="center"/>
          </w:tcPr>
          <w:p w14:paraId="26AAC8EA">
            <w:pPr>
              <w:spacing w:before="0" w:after="0" w:line="264" w:lineRule="auto"/>
              <w:jc w:val="left"/>
            </w:pPr>
            <w:r>
              <w:rPr>
                <w:rFonts w:ascii="Calibri" w:hAnsi="Calibri" w:eastAsia="微软雅黑"/>
                <w:b/>
                <w:sz w:val="20"/>
              </w:rPr>
              <w:t>角色</w:t>
            </w:r>
          </w:p>
        </w:tc>
        <w:tc>
          <w:tcPr>
            <w:tcW w:w="1100" w:type="dxa"/>
            <w:shd w:val="clear" w:color="auto" w:fill="F2F4F7"/>
            <w:tcMar>
              <w:top w:w="80" w:type="dxa"/>
              <w:left w:w="120" w:type="dxa"/>
              <w:bottom w:w="80" w:type="dxa"/>
              <w:right w:w="120" w:type="dxa"/>
            </w:tcMar>
            <w:vAlign w:val="center"/>
          </w:tcPr>
          <w:p w14:paraId="66296A1B">
            <w:pPr>
              <w:spacing w:before="0" w:after="0" w:line="264" w:lineRule="auto"/>
              <w:jc w:val="center"/>
            </w:pPr>
            <w:r>
              <w:rPr>
                <w:rFonts w:ascii="Calibri" w:hAnsi="Calibri" w:eastAsia="微软雅黑"/>
                <w:b/>
                <w:sz w:val="20"/>
              </w:rPr>
              <w:t>数量</w:t>
            </w:r>
          </w:p>
        </w:tc>
        <w:tc>
          <w:tcPr>
            <w:tcW w:w="3480" w:type="dxa"/>
            <w:shd w:val="clear" w:color="auto" w:fill="F2F4F7"/>
            <w:tcMar>
              <w:top w:w="80" w:type="dxa"/>
              <w:left w:w="120" w:type="dxa"/>
              <w:bottom w:w="80" w:type="dxa"/>
              <w:right w:w="120" w:type="dxa"/>
            </w:tcMar>
            <w:vAlign w:val="center"/>
          </w:tcPr>
          <w:p w14:paraId="1D88921F">
            <w:pPr>
              <w:spacing w:before="0" w:after="0" w:line="264" w:lineRule="auto"/>
              <w:jc w:val="left"/>
            </w:pPr>
            <w:r>
              <w:rPr>
                <w:rFonts w:ascii="Calibri" w:hAnsi="Calibri" w:eastAsia="微软雅黑"/>
                <w:b/>
                <w:sz w:val="20"/>
              </w:rPr>
              <w:t>配置</w:t>
            </w:r>
          </w:p>
        </w:tc>
        <w:tc>
          <w:tcPr>
            <w:tcW w:w="2980" w:type="dxa"/>
            <w:shd w:val="clear" w:color="auto" w:fill="F2F4F7"/>
            <w:tcMar>
              <w:top w:w="80" w:type="dxa"/>
              <w:left w:w="120" w:type="dxa"/>
              <w:bottom w:w="80" w:type="dxa"/>
              <w:right w:w="120" w:type="dxa"/>
            </w:tcMar>
            <w:vAlign w:val="center"/>
          </w:tcPr>
          <w:p w14:paraId="7C2E972D">
            <w:pPr>
              <w:spacing w:before="0" w:after="0" w:line="264" w:lineRule="auto"/>
              <w:jc w:val="left"/>
            </w:pPr>
            <w:r>
              <w:rPr>
                <w:rFonts w:ascii="Calibri" w:hAnsi="Calibri" w:eastAsia="微软雅黑"/>
                <w:b/>
                <w:sz w:val="20"/>
              </w:rPr>
              <w:t>主要用途</w:t>
            </w:r>
          </w:p>
        </w:tc>
      </w:tr>
      <w:tr w14:paraId="23F08932">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23AF4ACC">
            <w:pPr>
              <w:spacing w:before="0" w:after="0" w:line="264" w:lineRule="auto"/>
              <w:jc w:val="left"/>
            </w:pPr>
            <w:r>
              <w:rPr>
                <w:rFonts w:ascii="Calibri" w:hAnsi="Calibri" w:eastAsia="微软雅黑"/>
                <w:b w:val="0"/>
                <w:sz w:val="20"/>
              </w:rPr>
              <w:t>仲裁节点</w:t>
            </w:r>
          </w:p>
        </w:tc>
        <w:tc>
          <w:tcPr>
            <w:tcW w:w="1100" w:type="dxa"/>
            <w:tcMar>
              <w:top w:w="80" w:type="dxa"/>
              <w:left w:w="120" w:type="dxa"/>
              <w:bottom w:w="80" w:type="dxa"/>
              <w:right w:w="120" w:type="dxa"/>
            </w:tcMar>
            <w:vAlign w:val="center"/>
          </w:tcPr>
          <w:p w14:paraId="61BC9C9C">
            <w:pPr>
              <w:spacing w:before="0" w:after="0" w:line="264" w:lineRule="auto"/>
              <w:jc w:val="center"/>
            </w:pPr>
            <w:r>
              <w:rPr>
                <w:rFonts w:ascii="Calibri" w:hAnsi="Calibri" w:eastAsia="微软雅黑"/>
                <w:b w:val="0"/>
                <w:sz w:val="20"/>
              </w:rPr>
              <w:t>1 台</w:t>
            </w:r>
          </w:p>
        </w:tc>
        <w:tc>
          <w:tcPr>
            <w:tcW w:w="3480" w:type="dxa"/>
            <w:tcMar>
              <w:top w:w="80" w:type="dxa"/>
              <w:left w:w="120" w:type="dxa"/>
              <w:bottom w:w="80" w:type="dxa"/>
              <w:right w:w="120" w:type="dxa"/>
            </w:tcMar>
            <w:vAlign w:val="center"/>
          </w:tcPr>
          <w:p w14:paraId="01AE23E1">
            <w:pPr>
              <w:spacing w:before="0" w:after="0" w:line="264" w:lineRule="auto"/>
              <w:jc w:val="left"/>
            </w:pPr>
            <w:r>
              <w:rPr>
                <w:rFonts w:ascii="Calibri" w:hAnsi="Calibri" w:eastAsia="微软雅黑"/>
                <w:b w:val="0"/>
                <w:sz w:val="20"/>
              </w:rPr>
              <w:t xml:space="preserve">8C / 16G / </w:t>
            </w:r>
            <w:r>
              <w:rPr>
                <w:rFonts w:hint="eastAsia"/>
                <w:b w:val="0"/>
                <w:sz w:val="20"/>
                <w:lang w:val="en-US" w:eastAsia="zh-CN"/>
              </w:rPr>
              <w:t>600</w:t>
            </w:r>
            <w:r>
              <w:rPr>
                <w:rFonts w:ascii="Calibri" w:hAnsi="Calibri" w:eastAsia="微软雅黑"/>
                <w:b w:val="0"/>
                <w:sz w:val="20"/>
              </w:rPr>
              <w:t>G（100G 系统盘 + 500G 数据盘）</w:t>
            </w:r>
          </w:p>
        </w:tc>
        <w:tc>
          <w:tcPr>
            <w:tcW w:w="2980" w:type="dxa"/>
            <w:tcMar>
              <w:top w:w="80" w:type="dxa"/>
              <w:left w:w="120" w:type="dxa"/>
              <w:bottom w:w="80" w:type="dxa"/>
              <w:right w:w="120" w:type="dxa"/>
            </w:tcMar>
            <w:vAlign w:val="center"/>
          </w:tcPr>
          <w:p w14:paraId="4F94209F">
            <w:pPr>
              <w:spacing w:before="0" w:after="0" w:line="264" w:lineRule="auto"/>
              <w:jc w:val="left"/>
            </w:pPr>
            <w:r>
              <w:rPr>
                <w:rFonts w:ascii="Calibri" w:hAnsi="Calibri" w:eastAsia="微软雅黑"/>
                <w:b w:val="0"/>
                <w:sz w:val="20"/>
              </w:rPr>
              <w:t>第三仲裁</w:t>
            </w:r>
          </w:p>
        </w:tc>
      </w:tr>
      <w:tr w14:paraId="0A766A47">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4D151037">
            <w:pPr>
              <w:spacing w:before="0" w:after="0" w:line="264" w:lineRule="auto"/>
              <w:jc w:val="left"/>
            </w:pPr>
            <w:r>
              <w:rPr>
                <w:rFonts w:ascii="Calibri" w:hAnsi="Calibri" w:eastAsia="微软雅黑"/>
                <w:b w:val="0"/>
                <w:sz w:val="20"/>
              </w:rPr>
              <w:t>服务应用节点</w:t>
            </w:r>
          </w:p>
        </w:tc>
        <w:tc>
          <w:tcPr>
            <w:tcW w:w="1100" w:type="dxa"/>
            <w:tcMar>
              <w:top w:w="80" w:type="dxa"/>
              <w:left w:w="120" w:type="dxa"/>
              <w:bottom w:w="80" w:type="dxa"/>
              <w:right w:w="120" w:type="dxa"/>
            </w:tcMar>
            <w:vAlign w:val="center"/>
          </w:tcPr>
          <w:p w14:paraId="6BD7AF2F">
            <w:pPr>
              <w:spacing w:before="0" w:after="0" w:line="264" w:lineRule="auto"/>
              <w:jc w:val="center"/>
            </w:pPr>
            <w:r>
              <w:rPr>
                <w:rFonts w:ascii="Calibri" w:hAnsi="Calibri" w:eastAsia="微软雅黑"/>
                <w:b w:val="0"/>
                <w:sz w:val="20"/>
              </w:rPr>
              <w:t>2 台</w:t>
            </w:r>
          </w:p>
        </w:tc>
        <w:tc>
          <w:tcPr>
            <w:tcW w:w="3480" w:type="dxa"/>
            <w:tcMar>
              <w:top w:w="80" w:type="dxa"/>
              <w:left w:w="120" w:type="dxa"/>
              <w:bottom w:w="80" w:type="dxa"/>
              <w:right w:w="120" w:type="dxa"/>
            </w:tcMar>
            <w:vAlign w:val="center"/>
          </w:tcPr>
          <w:p w14:paraId="2DDBE6C5">
            <w:pPr>
              <w:spacing w:before="0" w:after="0" w:line="264" w:lineRule="auto"/>
              <w:jc w:val="left"/>
            </w:pPr>
            <w:r>
              <w:rPr>
                <w:rFonts w:ascii="Calibri" w:hAnsi="Calibri" w:eastAsia="微软雅黑"/>
                <w:b w:val="0"/>
                <w:sz w:val="20"/>
              </w:rPr>
              <w:t xml:space="preserve">32C / 64G / </w:t>
            </w:r>
            <w:r>
              <w:rPr>
                <w:rFonts w:hint="eastAsia"/>
                <w:b w:val="0"/>
                <w:sz w:val="20"/>
                <w:lang w:val="en-US" w:eastAsia="zh-CN"/>
              </w:rPr>
              <w:t>1200</w:t>
            </w:r>
            <w:r>
              <w:rPr>
                <w:rFonts w:ascii="Calibri" w:hAnsi="Calibri" w:eastAsia="微软雅黑"/>
                <w:b w:val="0"/>
                <w:sz w:val="20"/>
              </w:rPr>
              <w:t>G（100G 系统盘 + 500G 数据盘）</w:t>
            </w:r>
          </w:p>
        </w:tc>
        <w:tc>
          <w:tcPr>
            <w:tcW w:w="2980" w:type="dxa"/>
            <w:tcMar>
              <w:top w:w="80" w:type="dxa"/>
              <w:left w:w="120" w:type="dxa"/>
              <w:bottom w:w="80" w:type="dxa"/>
              <w:right w:w="120" w:type="dxa"/>
            </w:tcMar>
            <w:vAlign w:val="center"/>
          </w:tcPr>
          <w:p w14:paraId="73E770E4">
            <w:pPr>
              <w:spacing w:before="0" w:after="0" w:line="264" w:lineRule="auto"/>
              <w:jc w:val="left"/>
            </w:pPr>
            <w:r>
              <w:rPr>
                <w:rFonts w:ascii="Calibri" w:hAnsi="Calibri" w:eastAsia="微软雅黑"/>
                <w:b w:val="0"/>
                <w:sz w:val="20"/>
              </w:rPr>
              <w:t>服务应用集群</w:t>
            </w:r>
          </w:p>
        </w:tc>
      </w:tr>
      <w:tr w14:paraId="1AFFFDA6">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3AA68F51">
            <w:pPr>
              <w:spacing w:before="0" w:after="0" w:line="264" w:lineRule="auto"/>
              <w:jc w:val="left"/>
            </w:pPr>
            <w:r>
              <w:rPr>
                <w:rFonts w:ascii="Calibri" w:hAnsi="Calibri" w:eastAsia="微软雅黑"/>
                <w:b w:val="0"/>
                <w:sz w:val="20"/>
              </w:rPr>
              <w:t>MySQL、MinIO、Redis</w:t>
            </w:r>
          </w:p>
        </w:tc>
        <w:tc>
          <w:tcPr>
            <w:tcW w:w="1100" w:type="dxa"/>
            <w:tcMar>
              <w:top w:w="80" w:type="dxa"/>
              <w:left w:w="120" w:type="dxa"/>
              <w:bottom w:w="80" w:type="dxa"/>
              <w:right w:w="120" w:type="dxa"/>
            </w:tcMar>
            <w:vAlign w:val="center"/>
          </w:tcPr>
          <w:p w14:paraId="40279AF4">
            <w:pPr>
              <w:spacing w:before="0" w:after="0" w:line="264" w:lineRule="auto"/>
              <w:jc w:val="center"/>
            </w:pPr>
            <w:r>
              <w:rPr>
                <w:rFonts w:ascii="Calibri" w:hAnsi="Calibri" w:eastAsia="微软雅黑"/>
                <w:b w:val="0"/>
                <w:sz w:val="20"/>
              </w:rPr>
              <w:t>2 台</w:t>
            </w:r>
          </w:p>
        </w:tc>
        <w:tc>
          <w:tcPr>
            <w:tcW w:w="3480" w:type="dxa"/>
            <w:tcMar>
              <w:top w:w="80" w:type="dxa"/>
              <w:left w:w="120" w:type="dxa"/>
              <w:bottom w:w="80" w:type="dxa"/>
              <w:right w:w="120" w:type="dxa"/>
            </w:tcMar>
            <w:vAlign w:val="center"/>
          </w:tcPr>
          <w:p w14:paraId="36CD6237">
            <w:pPr>
              <w:spacing w:before="0" w:after="0" w:line="264" w:lineRule="auto"/>
              <w:jc w:val="left"/>
            </w:pPr>
            <w:r>
              <w:rPr>
                <w:rFonts w:ascii="Calibri" w:hAnsi="Calibri" w:eastAsia="微软雅黑"/>
                <w:b w:val="0"/>
                <w:sz w:val="20"/>
              </w:rPr>
              <w:t xml:space="preserve">16C / 32G / </w:t>
            </w:r>
            <w:r>
              <w:rPr>
                <w:rFonts w:hint="eastAsia"/>
                <w:b w:val="0"/>
                <w:sz w:val="20"/>
                <w:lang w:val="en-US" w:eastAsia="zh-CN"/>
              </w:rPr>
              <w:t>3400</w:t>
            </w:r>
            <w:r>
              <w:rPr>
                <w:rFonts w:ascii="Calibri" w:hAnsi="Calibri" w:eastAsia="微软雅黑"/>
                <w:b w:val="0"/>
                <w:sz w:val="20"/>
              </w:rPr>
              <w:t xml:space="preserve">G（100G 系统盘 + </w:t>
            </w:r>
            <w:r>
              <w:rPr>
                <w:rFonts w:hint="eastAsia"/>
                <w:b w:val="0"/>
                <w:sz w:val="20"/>
                <w:lang w:val="en-US" w:eastAsia="zh-CN"/>
              </w:rPr>
              <w:t>3</w:t>
            </w:r>
            <w:r>
              <w:rPr>
                <w:rFonts w:ascii="Calibri" w:hAnsi="Calibri" w:eastAsia="微软雅黑"/>
                <w:b w:val="0"/>
                <w:sz w:val="20"/>
              </w:rPr>
              <w:t>*500G 数据盘</w:t>
            </w:r>
            <w:r>
              <w:rPr>
                <w:rFonts w:hint="eastAsia"/>
                <w:b w:val="0"/>
                <w:sz w:val="20"/>
                <w:lang w:val="en-US" w:eastAsia="zh-CN"/>
              </w:rPr>
              <w:t>+1</w:t>
            </w:r>
            <w:r>
              <w:rPr>
                <w:rFonts w:ascii="Calibri" w:hAnsi="Calibri" w:eastAsia="微软雅黑"/>
                <w:b w:val="0"/>
                <w:sz w:val="20"/>
              </w:rPr>
              <w:t>*</w:t>
            </w:r>
            <w:r>
              <w:rPr>
                <w:rFonts w:hint="eastAsia"/>
                <w:b w:val="0"/>
                <w:sz w:val="20"/>
                <w:lang w:val="en-US" w:eastAsia="zh-CN"/>
              </w:rPr>
              <w:t>1</w:t>
            </w:r>
            <w:r>
              <w:rPr>
                <w:rFonts w:ascii="Calibri" w:hAnsi="Calibri" w:eastAsia="微软雅黑"/>
                <w:b w:val="0"/>
                <w:sz w:val="20"/>
              </w:rPr>
              <w:t>00G 数据盘）</w:t>
            </w:r>
          </w:p>
        </w:tc>
        <w:tc>
          <w:tcPr>
            <w:tcW w:w="2980" w:type="dxa"/>
            <w:tcMar>
              <w:top w:w="80" w:type="dxa"/>
              <w:left w:w="120" w:type="dxa"/>
              <w:bottom w:w="80" w:type="dxa"/>
              <w:right w:w="120" w:type="dxa"/>
            </w:tcMar>
            <w:vAlign w:val="center"/>
          </w:tcPr>
          <w:p w14:paraId="3486113B">
            <w:pPr>
              <w:spacing w:before="0" w:after="0" w:line="264" w:lineRule="auto"/>
              <w:jc w:val="left"/>
            </w:pPr>
            <w:r>
              <w:rPr>
                <w:rFonts w:ascii="Calibri" w:hAnsi="Calibri" w:eastAsia="微软雅黑"/>
                <w:b w:val="0"/>
                <w:sz w:val="20"/>
              </w:rPr>
              <w:t>MySQL/Redis/MinIO 集群</w:t>
            </w:r>
          </w:p>
        </w:tc>
      </w:tr>
      <w:tr w14:paraId="77EADA5C">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6E712091">
            <w:pPr>
              <w:spacing w:before="0" w:after="0" w:line="264" w:lineRule="auto"/>
              <w:jc w:val="left"/>
            </w:pPr>
            <w:r>
              <w:rPr>
                <w:rFonts w:ascii="Calibri" w:hAnsi="Calibri" w:eastAsia="微软雅黑"/>
                <w:b w:val="0"/>
                <w:sz w:val="20"/>
              </w:rPr>
              <w:t>IM 应用节点</w:t>
            </w:r>
          </w:p>
        </w:tc>
        <w:tc>
          <w:tcPr>
            <w:tcW w:w="1100" w:type="dxa"/>
            <w:tcMar>
              <w:top w:w="80" w:type="dxa"/>
              <w:left w:w="120" w:type="dxa"/>
              <w:bottom w:w="80" w:type="dxa"/>
              <w:right w:w="120" w:type="dxa"/>
            </w:tcMar>
            <w:vAlign w:val="center"/>
          </w:tcPr>
          <w:p w14:paraId="5F440740">
            <w:pPr>
              <w:spacing w:before="0" w:after="0" w:line="264" w:lineRule="auto"/>
              <w:jc w:val="center"/>
            </w:pPr>
            <w:r>
              <w:rPr>
                <w:rFonts w:ascii="Calibri" w:hAnsi="Calibri" w:eastAsia="微软雅黑"/>
                <w:b w:val="0"/>
                <w:sz w:val="20"/>
              </w:rPr>
              <w:t>4 台</w:t>
            </w:r>
          </w:p>
        </w:tc>
        <w:tc>
          <w:tcPr>
            <w:tcW w:w="3480" w:type="dxa"/>
            <w:tcMar>
              <w:top w:w="80" w:type="dxa"/>
              <w:left w:w="120" w:type="dxa"/>
              <w:bottom w:w="80" w:type="dxa"/>
              <w:right w:w="120" w:type="dxa"/>
            </w:tcMar>
            <w:vAlign w:val="center"/>
          </w:tcPr>
          <w:p w14:paraId="002AC4E2">
            <w:pPr>
              <w:spacing w:before="0" w:after="0" w:line="264" w:lineRule="auto"/>
              <w:jc w:val="left"/>
            </w:pPr>
            <w:r>
              <w:rPr>
                <w:rFonts w:ascii="Calibri" w:hAnsi="Calibri" w:eastAsia="微软雅黑"/>
                <w:b w:val="0"/>
                <w:sz w:val="20"/>
              </w:rPr>
              <w:t xml:space="preserve">16C / 64G / </w:t>
            </w:r>
            <w:r>
              <w:rPr>
                <w:rFonts w:hint="eastAsia"/>
                <w:b w:val="0"/>
                <w:sz w:val="20"/>
                <w:lang w:val="en-US" w:eastAsia="zh-CN"/>
              </w:rPr>
              <w:t>2400</w:t>
            </w:r>
            <w:r>
              <w:rPr>
                <w:rFonts w:ascii="Calibri" w:hAnsi="Calibri" w:eastAsia="微软雅黑"/>
                <w:b w:val="0"/>
                <w:sz w:val="20"/>
              </w:rPr>
              <w:t>G（100G 系统盘 + 500G 数据盘）</w:t>
            </w:r>
          </w:p>
        </w:tc>
        <w:tc>
          <w:tcPr>
            <w:tcW w:w="2980" w:type="dxa"/>
            <w:tcMar>
              <w:top w:w="80" w:type="dxa"/>
              <w:left w:w="120" w:type="dxa"/>
              <w:bottom w:w="80" w:type="dxa"/>
              <w:right w:w="120" w:type="dxa"/>
            </w:tcMar>
            <w:vAlign w:val="center"/>
          </w:tcPr>
          <w:p w14:paraId="2F9806AD">
            <w:pPr>
              <w:spacing w:before="0" w:after="0" w:line="264" w:lineRule="auto"/>
              <w:jc w:val="left"/>
            </w:pPr>
            <w:r>
              <w:rPr>
                <w:rFonts w:ascii="Calibri" w:hAnsi="Calibri" w:eastAsia="微软雅黑"/>
                <w:b w:val="0"/>
                <w:sz w:val="20"/>
              </w:rPr>
              <w:t>IM 应用集群</w:t>
            </w:r>
          </w:p>
        </w:tc>
      </w:tr>
      <w:tr w14:paraId="07A60A63">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62EF026A">
            <w:pPr>
              <w:spacing w:before="0" w:after="0" w:line="264" w:lineRule="auto"/>
              <w:jc w:val="left"/>
            </w:pPr>
            <w:r>
              <w:rPr>
                <w:rFonts w:ascii="Calibri" w:hAnsi="Calibri" w:eastAsia="微软雅黑"/>
                <w:b w:val="0"/>
                <w:sz w:val="20"/>
              </w:rPr>
              <w:t>合计</w:t>
            </w:r>
          </w:p>
        </w:tc>
        <w:tc>
          <w:tcPr>
            <w:tcW w:w="1100" w:type="dxa"/>
            <w:tcMar>
              <w:top w:w="80" w:type="dxa"/>
              <w:left w:w="120" w:type="dxa"/>
              <w:bottom w:w="80" w:type="dxa"/>
              <w:right w:w="120" w:type="dxa"/>
            </w:tcMar>
            <w:vAlign w:val="center"/>
          </w:tcPr>
          <w:p w14:paraId="013DE318">
            <w:pPr>
              <w:spacing w:before="0" w:after="0" w:line="264" w:lineRule="auto"/>
              <w:jc w:val="center"/>
            </w:pPr>
            <w:r>
              <w:rPr>
                <w:rFonts w:ascii="Calibri" w:hAnsi="Calibri" w:eastAsia="微软雅黑"/>
                <w:b w:val="0"/>
                <w:sz w:val="20"/>
              </w:rPr>
              <w:t>9 台</w:t>
            </w:r>
          </w:p>
        </w:tc>
        <w:tc>
          <w:tcPr>
            <w:tcW w:w="3480" w:type="dxa"/>
            <w:tcMar>
              <w:top w:w="80" w:type="dxa"/>
              <w:left w:w="120" w:type="dxa"/>
              <w:bottom w:w="80" w:type="dxa"/>
              <w:right w:w="120" w:type="dxa"/>
            </w:tcMar>
            <w:vAlign w:val="center"/>
          </w:tcPr>
          <w:p w14:paraId="4827FEDD">
            <w:pPr>
              <w:spacing w:before="0" w:after="0" w:line="264" w:lineRule="auto"/>
              <w:jc w:val="left"/>
            </w:pPr>
            <w:r>
              <w:rPr>
                <w:rFonts w:ascii="Calibri" w:hAnsi="Calibri" w:eastAsia="微软雅黑"/>
                <w:b w:val="0"/>
                <w:sz w:val="20"/>
              </w:rPr>
              <w:t xml:space="preserve">168C / 464GB / </w:t>
            </w:r>
            <w:r>
              <w:rPr>
                <w:rFonts w:hint="eastAsia"/>
                <w:b w:val="0"/>
                <w:sz w:val="20"/>
                <w:lang w:val="en-US" w:eastAsia="zh-CN"/>
              </w:rPr>
              <w:t>7600</w:t>
            </w:r>
            <w:r>
              <w:rPr>
                <w:rFonts w:ascii="Calibri" w:hAnsi="Calibri" w:eastAsia="微软雅黑"/>
                <w:b w:val="0"/>
                <w:sz w:val="20"/>
              </w:rPr>
              <w:t>G</w:t>
            </w:r>
          </w:p>
        </w:tc>
        <w:tc>
          <w:tcPr>
            <w:tcW w:w="2980" w:type="dxa"/>
            <w:tcMar>
              <w:top w:w="80" w:type="dxa"/>
              <w:left w:w="120" w:type="dxa"/>
              <w:bottom w:w="80" w:type="dxa"/>
              <w:right w:w="120" w:type="dxa"/>
            </w:tcMar>
            <w:vAlign w:val="center"/>
          </w:tcPr>
          <w:p w14:paraId="563B73FD">
            <w:pPr>
              <w:spacing w:before="0" w:after="0" w:line="264" w:lineRule="auto"/>
              <w:jc w:val="left"/>
            </w:pPr>
            <w:r>
              <w:rPr>
                <w:rFonts w:ascii="Calibri" w:hAnsi="Calibri" w:eastAsia="微软雅黑"/>
                <w:b w:val="0"/>
                <w:sz w:val="20"/>
              </w:rPr>
              <w:t xml:space="preserve">约 </w:t>
            </w:r>
            <w:r>
              <w:rPr>
                <w:rFonts w:hint="eastAsia"/>
                <w:b w:val="0"/>
                <w:sz w:val="20"/>
                <w:lang w:val="en-US" w:eastAsia="zh-CN"/>
              </w:rPr>
              <w:t>7.6</w:t>
            </w:r>
            <w:bookmarkStart w:id="0" w:name="_GoBack"/>
            <w:bookmarkEnd w:id="0"/>
            <w:r>
              <w:rPr>
                <w:rFonts w:ascii="Calibri" w:hAnsi="Calibri" w:eastAsia="微软雅黑"/>
                <w:b w:val="0"/>
                <w:sz w:val="20"/>
              </w:rPr>
              <w:t>TB 磁盘</w:t>
            </w:r>
          </w:p>
        </w:tc>
      </w:tr>
    </w:tbl>
    <w:p w14:paraId="2E8E34F9">
      <w:pPr>
        <w:spacing w:before="0" w:after="160" w:line="240" w:lineRule="auto"/>
      </w:pPr>
    </w:p>
    <w:p w14:paraId="336077A6">
      <w:pPr>
        <w:pStyle w:val="3"/>
      </w:pPr>
      <w:r>
        <w:rPr>
          <w:rFonts w:ascii="Calibri" w:hAnsi="Calibri" w:eastAsia="微软雅黑"/>
          <w:b/>
          <w:color w:val="2E74B5"/>
          <w:sz w:val="32"/>
        </w:rPr>
        <w:t>4. 数据库备份计划</w:t>
      </w:r>
    </w:p>
    <w:p w14:paraId="786483F3">
      <w:pPr>
        <w:spacing w:before="0" w:after="120" w:line="264" w:lineRule="auto"/>
      </w:pPr>
      <w:r>
        <w:rPr>
          <w:rFonts w:ascii="Calibri" w:hAnsi="Calibri" w:eastAsia="微软雅黑"/>
          <w:b w:val="0"/>
          <w:sz w:val="22"/>
        </w:rPr>
        <w:t>步骤：</w:t>
      </w:r>
    </w:p>
    <w:p w14:paraId="593ECE2B">
      <w:pPr>
        <w:pStyle w:val="14"/>
        <w:numPr>
          <w:ilvl w:val="0"/>
          <w:numId w:val="8"/>
        </w:numPr>
        <w:spacing w:before="0" w:after="160" w:line="280" w:lineRule="auto"/>
      </w:pPr>
      <w:r>
        <w:rPr>
          <w:rFonts w:ascii="Calibri" w:hAnsi="Calibri" w:eastAsia="微软雅黑"/>
          <w:b w:val="0"/>
          <w:sz w:val="22"/>
        </w:rPr>
        <w:t>执行迁移前全量备份。</w:t>
      </w:r>
    </w:p>
    <w:p w14:paraId="09F8A9DE">
      <w:pPr>
        <w:pStyle w:val="14"/>
        <w:numPr>
          <w:ilvl w:val="0"/>
          <w:numId w:val="8"/>
        </w:numPr>
        <w:spacing w:before="0" w:after="160" w:line="280" w:lineRule="auto"/>
      </w:pPr>
      <w:r>
        <w:rPr>
          <w:rFonts w:ascii="Calibri" w:hAnsi="Calibri" w:eastAsia="微软雅黑"/>
          <w:b w:val="0"/>
          <w:sz w:val="22"/>
        </w:rPr>
        <w:t>将备份文件复制到备份存储和新环境。</w:t>
      </w:r>
    </w:p>
    <w:p w14:paraId="2B3E0D0A">
      <w:pPr>
        <w:pStyle w:val="14"/>
        <w:numPr>
          <w:ilvl w:val="0"/>
          <w:numId w:val="8"/>
        </w:numPr>
        <w:spacing w:before="0" w:after="160" w:line="280" w:lineRule="auto"/>
      </w:pPr>
      <w:r>
        <w:rPr>
          <w:rFonts w:ascii="Calibri" w:hAnsi="Calibri" w:eastAsia="微软雅黑"/>
          <w:b w:val="0"/>
          <w:sz w:val="22"/>
        </w:rPr>
        <w:t>在新环境执行恢复演练，确认恢复耗时和数据完整性。</w:t>
      </w:r>
    </w:p>
    <w:p w14:paraId="406BE19A">
      <w:pPr>
        <w:pStyle w:val="14"/>
        <w:numPr>
          <w:ilvl w:val="0"/>
          <w:numId w:val="8"/>
        </w:numPr>
        <w:spacing w:before="0" w:after="160" w:line="280" w:lineRule="auto"/>
      </w:pPr>
      <w:r>
        <w:rPr>
          <w:rFonts w:ascii="Calibri" w:hAnsi="Calibri" w:eastAsia="微软雅黑"/>
          <w:b w:val="0"/>
          <w:sz w:val="22"/>
        </w:rPr>
        <w:t>正式迁移前进入维护或停写窗口，执行最终备份或增量同步。</w:t>
      </w:r>
    </w:p>
    <w:p w14:paraId="796105A5">
      <w:pPr>
        <w:pStyle w:val="14"/>
        <w:numPr>
          <w:ilvl w:val="0"/>
          <w:numId w:val="8"/>
        </w:numPr>
        <w:spacing w:before="0" w:after="160" w:line="280" w:lineRule="auto"/>
      </w:pPr>
      <w:r>
        <w:rPr>
          <w:rFonts w:ascii="Calibri" w:hAnsi="Calibri" w:eastAsia="微软雅黑"/>
          <w:b w:val="0"/>
          <w:sz w:val="22"/>
        </w:rPr>
        <w:t>数据恢复后校验核心表、关键数据量和业务连接。</w:t>
      </w:r>
    </w:p>
    <w:p w14:paraId="0CF17AEE">
      <w:pPr>
        <w:pStyle w:val="3"/>
      </w:pPr>
      <w:r>
        <w:rPr>
          <w:rFonts w:ascii="Calibri" w:hAnsi="Calibri" w:eastAsia="微软雅黑"/>
          <w:b/>
          <w:color w:val="2E74B5"/>
          <w:sz w:val="32"/>
        </w:rPr>
        <w:t>5. MinIO 备份计划</w:t>
      </w:r>
    </w:p>
    <w:p w14:paraId="7D27C510">
      <w:pPr>
        <w:spacing w:before="0" w:after="120" w:line="264" w:lineRule="auto"/>
      </w:pPr>
      <w:r>
        <w:rPr>
          <w:rFonts w:ascii="Calibri" w:hAnsi="Calibri" w:eastAsia="微软雅黑"/>
          <w:b w:val="0"/>
          <w:sz w:val="22"/>
        </w:rPr>
        <w:t>步骤：</w:t>
      </w:r>
    </w:p>
    <w:p w14:paraId="0EE151DB">
      <w:pPr>
        <w:pStyle w:val="14"/>
        <w:numPr>
          <w:ilvl w:val="0"/>
          <w:numId w:val="9"/>
        </w:numPr>
        <w:spacing w:before="0" w:after="160" w:line="280" w:lineRule="auto"/>
      </w:pPr>
      <w:r>
        <w:rPr>
          <w:rFonts w:ascii="Calibri" w:hAnsi="Calibri" w:eastAsia="微软雅黑"/>
          <w:b w:val="0"/>
          <w:sz w:val="22"/>
        </w:rPr>
        <w:t>统计 bucket 列表、对象数量、总容量、用户、策略、access key、生命周期和复制策略。</w:t>
      </w:r>
    </w:p>
    <w:p w14:paraId="3D859078">
      <w:pPr>
        <w:pStyle w:val="14"/>
        <w:numPr>
          <w:ilvl w:val="0"/>
          <w:numId w:val="9"/>
        </w:numPr>
        <w:spacing w:before="0" w:after="160" w:line="280" w:lineRule="auto"/>
      </w:pPr>
      <w:r>
        <w:rPr>
          <w:rFonts w:ascii="Calibri" w:hAnsi="Calibri" w:eastAsia="微软雅黑"/>
          <w:b w:val="0"/>
          <w:sz w:val="22"/>
        </w:rPr>
        <w:t xml:space="preserve">对主写 MinIO 执行对象备份或 </w:t>
      </w:r>
      <w:r>
        <w:rPr>
          <w:rFonts w:ascii="Consolas" w:hAnsi="Consolas" w:eastAsia="微软雅黑"/>
          <w:b w:val="0"/>
          <w:sz w:val="22"/>
        </w:rPr>
        <w:t>mc mirror</w:t>
      </w:r>
      <w:r>
        <w:rPr>
          <w:rFonts w:ascii="Calibri" w:hAnsi="Calibri" w:eastAsia="微软雅黑"/>
          <w:b w:val="0"/>
          <w:sz w:val="22"/>
        </w:rPr>
        <w:t xml:space="preserve"> 同步，并校验备节点 replication 数据是否一致。</w:t>
      </w:r>
    </w:p>
    <w:p w14:paraId="5DA673BE">
      <w:pPr>
        <w:pStyle w:val="14"/>
        <w:numPr>
          <w:ilvl w:val="0"/>
          <w:numId w:val="9"/>
        </w:numPr>
        <w:spacing w:before="0" w:after="160" w:line="280" w:lineRule="auto"/>
      </w:pPr>
      <w:r>
        <w:rPr>
          <w:rFonts w:ascii="Calibri" w:hAnsi="Calibri" w:eastAsia="微软雅黑"/>
          <w:b w:val="0"/>
          <w:sz w:val="22"/>
        </w:rPr>
        <w:t>导出并记录 bucket policy、用户策略、访问权限等元数据。</w:t>
      </w:r>
    </w:p>
    <w:p w14:paraId="24CDAE3E">
      <w:pPr>
        <w:pStyle w:val="14"/>
        <w:numPr>
          <w:ilvl w:val="0"/>
          <w:numId w:val="9"/>
        </w:numPr>
        <w:spacing w:before="0" w:after="160" w:line="280" w:lineRule="auto"/>
      </w:pPr>
      <w:r>
        <w:rPr>
          <w:rFonts w:ascii="Calibri" w:hAnsi="Calibri" w:eastAsia="微软雅黑"/>
          <w:b w:val="0"/>
          <w:sz w:val="22"/>
        </w:rPr>
        <w:t>抽样校验对象大小、ETag/hash 和业务读取结果。</w:t>
      </w:r>
    </w:p>
    <w:p w14:paraId="1EFFDAD1">
      <w:pPr>
        <w:pStyle w:val="14"/>
        <w:numPr>
          <w:ilvl w:val="0"/>
          <w:numId w:val="9"/>
        </w:numPr>
        <w:spacing w:before="0" w:after="160" w:line="280" w:lineRule="auto"/>
      </w:pPr>
      <w:r>
        <w:rPr>
          <w:rFonts w:ascii="Calibri" w:hAnsi="Calibri" w:eastAsia="微软雅黑"/>
          <w:b w:val="0"/>
          <w:sz w:val="22"/>
        </w:rPr>
        <w:t>记录预同步耗时、剩余增量规模和 replication lag。</w:t>
      </w:r>
    </w:p>
    <w:p w14:paraId="412E8C12">
      <w:pPr>
        <w:pStyle w:val="3"/>
      </w:pPr>
      <w:r>
        <w:rPr>
          <w:rFonts w:ascii="Calibri" w:hAnsi="Calibri" w:eastAsia="微软雅黑"/>
          <w:b/>
          <w:color w:val="2E74B5"/>
          <w:sz w:val="32"/>
        </w:rPr>
        <w:t>6. 新 HA 环境部署</w:t>
      </w:r>
    </w:p>
    <w:p w14:paraId="7B608C56">
      <w:pPr>
        <w:pStyle w:val="4"/>
      </w:pPr>
      <w:r>
        <w:rPr>
          <w:rFonts w:ascii="Calibri" w:hAnsi="Calibri" w:eastAsia="微软雅黑"/>
          <w:b/>
          <w:color w:val="2E74B5"/>
          <w:sz w:val="26"/>
        </w:rPr>
        <w:t>6.1 基础环境部署</w:t>
      </w:r>
    </w:p>
    <w:p w14:paraId="023EE208">
      <w:pPr>
        <w:pStyle w:val="14"/>
        <w:numPr>
          <w:ilvl w:val="0"/>
          <w:numId w:val="10"/>
        </w:numPr>
        <w:spacing w:before="0" w:after="160" w:line="280" w:lineRule="auto"/>
      </w:pPr>
      <w:r>
        <w:rPr>
          <w:rFonts w:ascii="Calibri" w:hAnsi="Calibri" w:eastAsia="微软雅黑"/>
          <w:b w:val="0"/>
          <w:sz w:val="22"/>
        </w:rPr>
        <w:t>初始化操作系统和基础安全配置。</w:t>
      </w:r>
    </w:p>
    <w:p w14:paraId="4F5E3A9C">
      <w:pPr>
        <w:pStyle w:val="14"/>
        <w:numPr>
          <w:ilvl w:val="0"/>
          <w:numId w:val="10"/>
        </w:numPr>
        <w:spacing w:before="0" w:after="160" w:line="280" w:lineRule="auto"/>
      </w:pPr>
      <w:r>
        <w:rPr>
          <w:rFonts w:ascii="Calibri" w:hAnsi="Calibri" w:eastAsia="微软雅黑"/>
          <w:b w:val="0"/>
          <w:sz w:val="22"/>
        </w:rPr>
        <w:t>配置主机名、内网 IP、DNS、NTP 和防火墙。</w:t>
      </w:r>
    </w:p>
    <w:p w14:paraId="66BC8B0E">
      <w:pPr>
        <w:pStyle w:val="14"/>
        <w:numPr>
          <w:ilvl w:val="0"/>
          <w:numId w:val="10"/>
        </w:numPr>
        <w:spacing w:before="0" w:after="160" w:line="280" w:lineRule="auto"/>
      </w:pPr>
      <w:r>
        <w:rPr>
          <w:rFonts w:ascii="Calibri" w:hAnsi="Calibri" w:eastAsia="微软雅黑"/>
          <w:b w:val="0"/>
          <w:sz w:val="22"/>
        </w:rPr>
        <w:t>挂载数据盘并设置开机自动挂载。</w:t>
      </w:r>
    </w:p>
    <w:p w14:paraId="398438CB">
      <w:pPr>
        <w:pStyle w:val="14"/>
        <w:numPr>
          <w:ilvl w:val="0"/>
          <w:numId w:val="10"/>
        </w:numPr>
        <w:spacing w:before="0" w:after="160" w:line="280" w:lineRule="auto"/>
      </w:pPr>
      <w:r>
        <w:rPr>
          <w:rFonts w:ascii="Calibri" w:hAnsi="Calibri" w:eastAsia="微软雅黑"/>
          <w:b w:val="0"/>
          <w:sz w:val="22"/>
        </w:rPr>
        <w:t>安装 Docker 或项目所需运行时。</w:t>
      </w:r>
    </w:p>
    <w:p w14:paraId="545B5A31">
      <w:pPr>
        <w:pStyle w:val="14"/>
        <w:numPr>
          <w:ilvl w:val="0"/>
          <w:numId w:val="10"/>
        </w:numPr>
        <w:spacing w:before="0" w:after="160" w:line="280" w:lineRule="auto"/>
      </w:pPr>
      <w:r>
        <w:rPr>
          <w:rFonts w:ascii="Calibri" w:hAnsi="Calibri" w:eastAsia="微软雅黑"/>
          <w:b w:val="0"/>
          <w:sz w:val="22"/>
        </w:rPr>
        <w:t>配置系统日志、磁盘监控和基础告警。</w:t>
      </w:r>
    </w:p>
    <w:p w14:paraId="7A8B747E">
      <w:pPr>
        <w:pStyle w:val="4"/>
      </w:pPr>
      <w:r>
        <w:rPr>
          <w:rFonts w:ascii="Calibri" w:hAnsi="Calibri" w:eastAsia="微软雅黑"/>
          <w:b/>
          <w:color w:val="2E74B5"/>
          <w:sz w:val="26"/>
        </w:rPr>
        <w:t>6.2 数据库 HA 部署</w:t>
      </w:r>
    </w:p>
    <w:p w14:paraId="75A921A0">
      <w:pPr>
        <w:pStyle w:val="14"/>
        <w:numPr>
          <w:ilvl w:val="0"/>
          <w:numId w:val="11"/>
        </w:numPr>
        <w:spacing w:before="0" w:after="160" w:line="280" w:lineRule="auto"/>
      </w:pPr>
      <w:r>
        <w:rPr>
          <w:rFonts w:ascii="Calibri" w:hAnsi="Calibri" w:eastAsia="微软雅黑"/>
          <w:b w:val="0"/>
          <w:sz w:val="22"/>
        </w:rPr>
        <w:t>在 数据库节点部署数据库服务。</w:t>
      </w:r>
    </w:p>
    <w:p w14:paraId="1DBF42D3">
      <w:pPr>
        <w:pStyle w:val="14"/>
        <w:numPr>
          <w:ilvl w:val="0"/>
          <w:numId w:val="11"/>
        </w:numPr>
        <w:spacing w:before="0" w:after="160" w:line="280" w:lineRule="auto"/>
      </w:pPr>
      <w:r>
        <w:rPr>
          <w:rFonts w:ascii="Calibri" w:hAnsi="Calibri" w:eastAsia="微软雅黑"/>
          <w:b w:val="0"/>
          <w:sz w:val="22"/>
        </w:rPr>
        <w:t>配置数据库 HA，MySQL InnoDB Cluster。</w:t>
      </w:r>
    </w:p>
    <w:p w14:paraId="4E548CE3">
      <w:pPr>
        <w:pStyle w:val="14"/>
        <w:numPr>
          <w:ilvl w:val="0"/>
          <w:numId w:val="11"/>
        </w:numPr>
        <w:spacing w:before="0" w:after="160" w:line="280" w:lineRule="auto"/>
      </w:pPr>
      <w:r>
        <w:rPr>
          <w:rFonts w:ascii="Calibri" w:hAnsi="Calibri" w:eastAsia="微软雅黑"/>
          <w:b w:val="0"/>
          <w:sz w:val="22"/>
        </w:rPr>
        <w:t>确认主节点、从节点、复制状态和故障转移能力。</w:t>
      </w:r>
    </w:p>
    <w:p w14:paraId="501C8F46">
      <w:pPr>
        <w:pStyle w:val="14"/>
        <w:numPr>
          <w:ilvl w:val="0"/>
          <w:numId w:val="11"/>
        </w:numPr>
        <w:spacing w:before="0" w:after="160" w:line="280" w:lineRule="auto"/>
      </w:pPr>
      <w:r>
        <w:rPr>
          <w:rFonts w:ascii="Calibri" w:hAnsi="Calibri" w:eastAsia="微软雅黑"/>
          <w:b w:val="0"/>
          <w:sz w:val="22"/>
        </w:rPr>
        <w:t>创建业务所需数据库、用户和权限。</w:t>
      </w:r>
    </w:p>
    <w:p w14:paraId="70E51501">
      <w:pPr>
        <w:pStyle w:val="14"/>
        <w:numPr>
          <w:ilvl w:val="0"/>
          <w:numId w:val="11"/>
        </w:numPr>
        <w:spacing w:before="0" w:after="160" w:line="280" w:lineRule="auto"/>
      </w:pPr>
      <w:r>
        <w:rPr>
          <w:rFonts w:ascii="Calibri" w:hAnsi="Calibri" w:eastAsia="微软雅黑"/>
          <w:b w:val="0"/>
          <w:sz w:val="22"/>
        </w:rPr>
        <w:t>恢复迁移数据并执行一致性校验。</w:t>
      </w:r>
    </w:p>
    <w:p w14:paraId="6608B92F">
      <w:pPr>
        <w:pStyle w:val="4"/>
      </w:pPr>
      <w:r>
        <w:rPr>
          <w:rFonts w:ascii="Calibri" w:hAnsi="Calibri" w:eastAsia="微软雅黑"/>
          <w:b/>
          <w:color w:val="2E74B5"/>
          <w:sz w:val="26"/>
        </w:rPr>
        <w:t>6.3 MinIO HA 部署</w:t>
      </w:r>
    </w:p>
    <w:p w14:paraId="6B800E2B">
      <w:pPr>
        <w:pStyle w:val="14"/>
        <w:numPr>
          <w:ilvl w:val="0"/>
          <w:numId w:val="12"/>
        </w:numPr>
        <w:spacing w:before="0" w:after="160" w:line="280" w:lineRule="auto"/>
      </w:pPr>
      <w:r>
        <w:rPr>
          <w:rFonts w:ascii="Calibri" w:hAnsi="Calibri" w:eastAsia="微软雅黑"/>
          <w:b w:val="0"/>
          <w:sz w:val="22"/>
        </w:rPr>
        <w:t>配置独立数据盘、服务参数、控制台和内部访问地址。</w:t>
      </w:r>
    </w:p>
    <w:p w14:paraId="4099CBE7">
      <w:pPr>
        <w:pStyle w:val="14"/>
        <w:numPr>
          <w:ilvl w:val="0"/>
          <w:numId w:val="12"/>
        </w:numPr>
        <w:spacing w:before="0" w:after="160" w:line="280" w:lineRule="auto"/>
      </w:pPr>
      <w:r>
        <w:rPr>
          <w:rFonts w:ascii="Calibri" w:hAnsi="Calibri" w:eastAsia="微软雅黑"/>
          <w:b w:val="0"/>
          <w:sz w:val="22"/>
        </w:rPr>
        <w:t>创建 bucket、用户、策略和访问权限。</w:t>
      </w:r>
    </w:p>
    <w:p w14:paraId="12059F7E">
      <w:pPr>
        <w:pStyle w:val="14"/>
        <w:numPr>
          <w:ilvl w:val="0"/>
          <w:numId w:val="12"/>
        </w:numPr>
        <w:spacing w:before="0" w:after="160" w:line="280" w:lineRule="auto"/>
      </w:pPr>
      <w:r>
        <w:rPr>
          <w:rFonts w:ascii="Calibri" w:hAnsi="Calibri" w:eastAsia="微软雅黑"/>
          <w:b w:val="0"/>
          <w:sz w:val="22"/>
        </w:rPr>
        <w:t>配置 bucket replication，确认主写节点到备节点的对象同步正常。</w:t>
      </w:r>
    </w:p>
    <w:p w14:paraId="350F050B">
      <w:pPr>
        <w:pStyle w:val="14"/>
        <w:numPr>
          <w:ilvl w:val="0"/>
          <w:numId w:val="12"/>
        </w:numPr>
        <w:spacing w:before="0" w:after="160" w:line="280" w:lineRule="auto"/>
      </w:pPr>
      <w:r>
        <w:rPr>
          <w:rFonts w:ascii="Calibri" w:hAnsi="Calibri" w:eastAsia="微软雅黑"/>
          <w:b w:val="0"/>
          <w:sz w:val="22"/>
        </w:rPr>
        <w:t>恢复对象数据并执行读写、同步和故障切换校验。</w:t>
      </w:r>
    </w:p>
    <w:p w14:paraId="35CB83BC">
      <w:pPr>
        <w:pStyle w:val="4"/>
      </w:pPr>
      <w:r>
        <w:rPr>
          <w:rFonts w:ascii="Calibri" w:hAnsi="Calibri" w:eastAsia="微软雅黑"/>
          <w:b/>
          <w:color w:val="2E74B5"/>
          <w:sz w:val="26"/>
        </w:rPr>
        <w:t>6.4 应用 HA 部署</w:t>
      </w:r>
    </w:p>
    <w:p w14:paraId="6F8D625A">
      <w:pPr>
        <w:pStyle w:val="14"/>
        <w:numPr>
          <w:ilvl w:val="0"/>
          <w:numId w:val="13"/>
        </w:numPr>
        <w:spacing w:before="0" w:after="160" w:line="280" w:lineRule="auto"/>
      </w:pPr>
      <w:r>
        <w:rPr>
          <w:rFonts w:ascii="Calibri" w:hAnsi="Calibri" w:eastAsia="微软雅黑"/>
          <w:b w:val="0"/>
          <w:sz w:val="22"/>
        </w:rPr>
        <w:t>在应用节点部署业务服务多实例。</w:t>
      </w:r>
    </w:p>
    <w:p w14:paraId="30561EB5">
      <w:pPr>
        <w:pStyle w:val="14"/>
        <w:numPr>
          <w:ilvl w:val="0"/>
          <w:numId w:val="13"/>
        </w:numPr>
        <w:spacing w:before="0" w:after="160" w:line="280" w:lineRule="auto"/>
      </w:pPr>
      <w:r>
        <w:rPr>
          <w:rFonts w:ascii="Calibri" w:hAnsi="Calibri" w:eastAsia="微软雅黑"/>
          <w:b w:val="0"/>
          <w:sz w:val="22"/>
        </w:rPr>
        <w:t>应用连接新数据库和新 MinIO。</w:t>
      </w:r>
    </w:p>
    <w:p w14:paraId="435CD98A">
      <w:pPr>
        <w:pStyle w:val="14"/>
        <w:numPr>
          <w:ilvl w:val="0"/>
          <w:numId w:val="13"/>
        </w:numPr>
        <w:spacing w:before="0" w:after="160" w:line="280" w:lineRule="auto"/>
      </w:pPr>
      <w:r>
        <w:rPr>
          <w:rFonts w:ascii="Calibri" w:hAnsi="Calibri" w:eastAsia="微软雅黑"/>
          <w:b w:val="0"/>
          <w:sz w:val="22"/>
        </w:rPr>
        <w:t>配置服务健康检查。</w:t>
      </w:r>
    </w:p>
    <w:p w14:paraId="06D9BE9D">
      <w:pPr>
        <w:pStyle w:val="14"/>
        <w:numPr>
          <w:ilvl w:val="0"/>
          <w:numId w:val="13"/>
        </w:numPr>
        <w:spacing w:before="0" w:after="160" w:line="280" w:lineRule="auto"/>
      </w:pPr>
      <w:r>
        <w:rPr>
          <w:rFonts w:ascii="Calibri" w:hAnsi="Calibri" w:eastAsia="微软雅黑"/>
          <w:b w:val="0"/>
          <w:sz w:val="22"/>
        </w:rPr>
        <w:t>配置负载均衡后端节点。</w:t>
      </w:r>
    </w:p>
    <w:p w14:paraId="3981CA31">
      <w:pPr>
        <w:pStyle w:val="14"/>
        <w:numPr>
          <w:ilvl w:val="0"/>
          <w:numId w:val="13"/>
        </w:numPr>
        <w:spacing w:before="0" w:after="160" w:line="280" w:lineRule="auto"/>
      </w:pPr>
      <w:r>
        <w:rPr>
          <w:rFonts w:ascii="Calibri" w:hAnsi="Calibri" w:eastAsia="微软雅黑"/>
          <w:b w:val="0"/>
          <w:sz w:val="22"/>
        </w:rPr>
        <w:t>验证应用启动、日志、接口、登录和核心业务流程。</w:t>
      </w:r>
    </w:p>
    <w:p w14:paraId="6DD5623E">
      <w:pPr>
        <w:pStyle w:val="3"/>
      </w:pPr>
      <w:r>
        <w:rPr>
          <w:rFonts w:ascii="Calibri" w:hAnsi="Calibri" w:eastAsia="微软雅黑"/>
          <w:b/>
          <w:color w:val="2E74B5"/>
          <w:sz w:val="32"/>
        </w:rPr>
        <w:t>7. 数据库和 MinIO 还原流程</w:t>
      </w:r>
    </w:p>
    <w:p w14:paraId="6C2B8A50">
      <w:pPr>
        <w:spacing w:before="0" w:after="120" w:line="264" w:lineRule="auto"/>
      </w:pPr>
      <w:r>
        <w:rPr>
          <w:rFonts w:ascii="Calibri" w:hAnsi="Calibri" w:eastAsia="微软雅黑"/>
          <w:b w:val="0"/>
          <w:sz w:val="22"/>
        </w:rPr>
        <w:t>正式还原顺序如下：</w:t>
      </w:r>
    </w:p>
    <w:p w14:paraId="174BE806">
      <w:pPr>
        <w:pStyle w:val="14"/>
        <w:numPr>
          <w:ilvl w:val="0"/>
          <w:numId w:val="14"/>
        </w:numPr>
        <w:spacing w:before="0" w:after="160" w:line="280" w:lineRule="auto"/>
      </w:pPr>
      <w:r>
        <w:rPr>
          <w:rFonts w:ascii="Calibri" w:hAnsi="Calibri" w:eastAsia="微软雅黑"/>
          <w:b w:val="0"/>
          <w:sz w:val="22"/>
        </w:rPr>
        <w:t>确认新数据库 HA 集群状态正常。</w:t>
      </w:r>
    </w:p>
    <w:p w14:paraId="7B0494C6">
      <w:pPr>
        <w:pStyle w:val="14"/>
        <w:numPr>
          <w:ilvl w:val="0"/>
          <w:numId w:val="14"/>
        </w:numPr>
        <w:spacing w:before="0" w:after="160" w:line="280" w:lineRule="auto"/>
      </w:pPr>
      <w:r>
        <w:rPr>
          <w:rFonts w:ascii="Calibri" w:hAnsi="Calibri" w:eastAsia="微软雅黑"/>
          <w:b w:val="0"/>
          <w:sz w:val="22"/>
        </w:rPr>
        <w:t>将最终数据库备份恢复到新数据库。</w:t>
      </w:r>
    </w:p>
    <w:p w14:paraId="4CECD5A6">
      <w:pPr>
        <w:pStyle w:val="14"/>
        <w:numPr>
          <w:ilvl w:val="0"/>
          <w:numId w:val="14"/>
        </w:numPr>
        <w:spacing w:before="0" w:after="160" w:line="280" w:lineRule="auto"/>
      </w:pPr>
      <w:r>
        <w:rPr>
          <w:rFonts w:ascii="Calibri" w:hAnsi="Calibri" w:eastAsia="微软雅黑"/>
          <w:b w:val="0"/>
          <w:sz w:val="22"/>
        </w:rPr>
        <w:t>校验数据库完整性和核心业务数据。</w:t>
      </w:r>
    </w:p>
    <w:p w14:paraId="0CA9417E">
      <w:pPr>
        <w:pStyle w:val="14"/>
        <w:numPr>
          <w:ilvl w:val="0"/>
          <w:numId w:val="14"/>
        </w:numPr>
        <w:spacing w:before="0" w:after="160" w:line="280" w:lineRule="auto"/>
      </w:pPr>
      <w:r>
        <w:rPr>
          <w:rFonts w:ascii="Calibri" w:hAnsi="Calibri" w:eastAsia="微软雅黑"/>
          <w:b w:val="0"/>
          <w:sz w:val="22"/>
        </w:rPr>
        <w:t>确认 MinIO 服务状态和 bucket replication 状态正常。</w:t>
      </w:r>
    </w:p>
    <w:p w14:paraId="1AE9B5A9">
      <w:pPr>
        <w:pStyle w:val="14"/>
        <w:numPr>
          <w:ilvl w:val="0"/>
          <w:numId w:val="14"/>
        </w:numPr>
        <w:spacing w:before="0" w:after="160" w:line="280" w:lineRule="auto"/>
      </w:pPr>
      <w:r>
        <w:rPr>
          <w:rFonts w:ascii="Calibri" w:hAnsi="Calibri" w:eastAsia="微软雅黑"/>
          <w:b w:val="0"/>
          <w:sz w:val="22"/>
        </w:rPr>
        <w:t>将最终 MinIO 对象数据和元数据恢复到新 MinIO。</w:t>
      </w:r>
    </w:p>
    <w:p w14:paraId="0F53B22E">
      <w:pPr>
        <w:pStyle w:val="14"/>
        <w:numPr>
          <w:ilvl w:val="0"/>
          <w:numId w:val="14"/>
        </w:numPr>
        <w:spacing w:before="0" w:after="160" w:line="280" w:lineRule="auto"/>
      </w:pPr>
      <w:r>
        <w:rPr>
          <w:rFonts w:ascii="Calibri" w:hAnsi="Calibri" w:eastAsia="微软雅黑"/>
          <w:b w:val="0"/>
          <w:sz w:val="22"/>
        </w:rPr>
        <w:t>校验对象数量、关键文件和访问权限。</w:t>
      </w:r>
    </w:p>
    <w:p w14:paraId="7CE1685A">
      <w:pPr>
        <w:pStyle w:val="14"/>
        <w:numPr>
          <w:ilvl w:val="0"/>
          <w:numId w:val="14"/>
        </w:numPr>
        <w:spacing w:before="0" w:after="160" w:line="280" w:lineRule="auto"/>
      </w:pPr>
      <w:r>
        <w:rPr>
          <w:rFonts w:ascii="Calibri" w:hAnsi="Calibri" w:eastAsia="微软雅黑"/>
          <w:b w:val="0"/>
          <w:sz w:val="22"/>
        </w:rPr>
        <w:t>修改应用配置，使应用连接新数据库和新 MinIO。</w:t>
      </w:r>
    </w:p>
    <w:p w14:paraId="2369FA7A">
      <w:pPr>
        <w:pStyle w:val="14"/>
        <w:numPr>
          <w:ilvl w:val="0"/>
          <w:numId w:val="14"/>
        </w:numPr>
        <w:spacing w:before="0" w:after="160" w:line="280" w:lineRule="auto"/>
      </w:pPr>
      <w:r>
        <w:rPr>
          <w:rFonts w:ascii="Calibri" w:hAnsi="Calibri" w:eastAsia="微软雅黑"/>
          <w:b w:val="0"/>
          <w:sz w:val="22"/>
        </w:rPr>
        <w:t>启动应用服务并执行完整业务验证。</w:t>
      </w:r>
    </w:p>
    <w:p w14:paraId="63B2EA33">
      <w:pPr>
        <w:pStyle w:val="3"/>
      </w:pPr>
      <w:r>
        <w:rPr>
          <w:rFonts w:ascii="Calibri" w:hAnsi="Calibri" w:eastAsia="微软雅黑"/>
          <w:b/>
          <w:color w:val="2E74B5"/>
          <w:sz w:val="32"/>
        </w:rPr>
        <w:t>8. DNS 核验计划</w:t>
      </w:r>
    </w:p>
    <w:p w14:paraId="06F106FE">
      <w:pPr>
        <w:spacing w:before="0" w:after="120" w:line="264" w:lineRule="auto"/>
      </w:pPr>
      <w:r>
        <w:rPr>
          <w:rFonts w:ascii="Calibri" w:hAnsi="Calibri" w:eastAsia="微软雅黑"/>
          <w:b w:val="0"/>
          <w:sz w:val="22"/>
        </w:rPr>
        <w:t>本次不进行 DNS 切换，仅核验 DNS 解析、入口连通性和迁移前入口记录。</w:t>
      </w:r>
    </w:p>
    <w:p w14:paraId="543AD3E1">
      <w:pPr>
        <w:pStyle w:val="4"/>
      </w:pPr>
      <w:r>
        <w:rPr>
          <w:rFonts w:ascii="Calibri" w:hAnsi="Calibri" w:eastAsia="微软雅黑"/>
          <w:b/>
          <w:color w:val="2E74B5"/>
          <w:sz w:val="26"/>
        </w:rPr>
        <w:t>8.1 迁移前准备</w:t>
      </w:r>
    </w:p>
    <w:p w14:paraId="3DED2627">
      <w:pPr>
        <w:pStyle w:val="14"/>
        <w:numPr>
          <w:ilvl w:val="0"/>
          <w:numId w:val="15"/>
        </w:numPr>
        <w:spacing w:before="0" w:after="160" w:line="280" w:lineRule="auto"/>
      </w:pPr>
      <w:r>
        <w:rPr>
          <w:rFonts w:ascii="Calibri" w:hAnsi="Calibri" w:eastAsia="微软雅黑"/>
          <w:b w:val="0"/>
          <w:sz w:val="22"/>
        </w:rPr>
        <w:t>确认当前业务域名解析记录、TTL、证书和负载均衡入口。</w:t>
      </w:r>
    </w:p>
    <w:p w14:paraId="09BFCC79">
      <w:pPr>
        <w:pStyle w:val="14"/>
        <w:numPr>
          <w:ilvl w:val="0"/>
          <w:numId w:val="15"/>
        </w:numPr>
        <w:spacing w:before="0" w:after="160" w:line="280" w:lineRule="auto"/>
      </w:pPr>
      <w:r>
        <w:rPr>
          <w:rFonts w:ascii="Calibri" w:hAnsi="Calibri" w:eastAsia="微软雅黑"/>
          <w:b w:val="0"/>
          <w:sz w:val="22"/>
        </w:rPr>
        <w:t>确认新 HA 入口公网 IP、证书和负载均衡配置。</w:t>
      </w:r>
    </w:p>
    <w:p w14:paraId="6ABAEEDF">
      <w:pPr>
        <w:pStyle w:val="14"/>
        <w:numPr>
          <w:ilvl w:val="0"/>
          <w:numId w:val="15"/>
        </w:numPr>
        <w:spacing w:before="0" w:after="160" w:line="280" w:lineRule="auto"/>
      </w:pPr>
      <w:r>
        <w:rPr>
          <w:rFonts w:ascii="Calibri" w:hAnsi="Calibri" w:eastAsia="微软雅黑"/>
          <w:b w:val="0"/>
          <w:sz w:val="22"/>
        </w:rPr>
        <w:t>确认新环境健康检查通过。</w:t>
      </w:r>
    </w:p>
    <w:p w14:paraId="420D0CD1">
      <w:pPr>
        <w:pStyle w:val="4"/>
      </w:pPr>
      <w:r>
        <w:rPr>
          <w:rFonts w:ascii="Calibri" w:hAnsi="Calibri" w:eastAsia="微软雅黑"/>
          <w:b/>
          <w:color w:val="2E74B5"/>
          <w:sz w:val="26"/>
        </w:rPr>
        <w:t>8.2 正式核验</w:t>
      </w:r>
    </w:p>
    <w:p w14:paraId="249E3528">
      <w:pPr>
        <w:pStyle w:val="14"/>
        <w:numPr>
          <w:ilvl w:val="0"/>
          <w:numId w:val="16"/>
        </w:numPr>
        <w:spacing w:before="0" w:after="160" w:line="280" w:lineRule="auto"/>
      </w:pPr>
      <w:r>
        <w:rPr>
          <w:rFonts w:ascii="Calibri" w:hAnsi="Calibri" w:eastAsia="微软雅黑"/>
          <w:b w:val="0"/>
          <w:sz w:val="22"/>
        </w:rPr>
        <w:t>业务进入维护或只读状态。</w:t>
      </w:r>
    </w:p>
    <w:p w14:paraId="24A89BFF">
      <w:pPr>
        <w:pStyle w:val="14"/>
        <w:numPr>
          <w:ilvl w:val="0"/>
          <w:numId w:val="16"/>
        </w:numPr>
        <w:spacing w:before="0" w:after="160" w:line="280" w:lineRule="auto"/>
      </w:pPr>
      <w:r>
        <w:rPr>
          <w:rFonts w:ascii="Calibri" w:hAnsi="Calibri" w:eastAsia="微软雅黑"/>
          <w:b w:val="0"/>
          <w:sz w:val="22"/>
        </w:rPr>
        <w:t>完成数据库和 MinIO 最终同步。</w:t>
      </w:r>
    </w:p>
    <w:p w14:paraId="59CB65CC">
      <w:pPr>
        <w:pStyle w:val="14"/>
        <w:numPr>
          <w:ilvl w:val="0"/>
          <w:numId w:val="16"/>
        </w:numPr>
        <w:spacing w:before="0" w:after="160" w:line="280" w:lineRule="auto"/>
      </w:pPr>
      <w:r>
        <w:rPr>
          <w:rFonts w:ascii="Calibri" w:hAnsi="Calibri" w:eastAsia="微软雅黑"/>
          <w:b w:val="0"/>
          <w:sz w:val="22"/>
        </w:rPr>
        <w:t>在新环境完成业务验证。</w:t>
      </w:r>
    </w:p>
    <w:p w14:paraId="7D8FB0FB">
      <w:pPr>
        <w:pStyle w:val="14"/>
        <w:numPr>
          <w:ilvl w:val="0"/>
          <w:numId w:val="16"/>
        </w:numPr>
        <w:spacing w:before="0" w:after="160" w:line="280" w:lineRule="auto"/>
      </w:pPr>
      <w:r>
        <w:rPr>
          <w:rFonts w:ascii="Calibri" w:hAnsi="Calibri" w:eastAsia="微软雅黑"/>
          <w:b w:val="0"/>
          <w:sz w:val="22"/>
        </w:rPr>
        <w:t>核验业务域名仍解析到当前新 DNS 入口。</w:t>
      </w:r>
    </w:p>
    <w:p w14:paraId="7F447F44">
      <w:pPr>
        <w:pStyle w:val="14"/>
        <w:numPr>
          <w:ilvl w:val="0"/>
          <w:numId w:val="16"/>
        </w:numPr>
        <w:spacing w:before="0" w:after="160" w:line="280" w:lineRule="auto"/>
      </w:pPr>
      <w:r>
        <w:rPr>
          <w:rFonts w:ascii="Calibri" w:hAnsi="Calibri" w:eastAsia="微软雅黑"/>
          <w:b w:val="0"/>
          <w:sz w:val="22"/>
        </w:rPr>
        <w:t>进行多地区解析验证。</w:t>
      </w:r>
    </w:p>
    <w:p w14:paraId="2BD72CE7">
      <w:pPr>
        <w:pStyle w:val="14"/>
        <w:numPr>
          <w:ilvl w:val="0"/>
          <w:numId w:val="16"/>
        </w:numPr>
        <w:spacing w:before="0" w:after="160" w:line="280" w:lineRule="auto"/>
      </w:pPr>
      <w:r>
        <w:rPr>
          <w:rFonts w:ascii="Calibri" w:hAnsi="Calibri" w:eastAsia="微软雅黑"/>
          <w:b w:val="0"/>
          <w:sz w:val="22"/>
        </w:rPr>
        <w:t>验证访问、登录、核心 API、文件上传下载。</w:t>
      </w:r>
    </w:p>
    <w:p w14:paraId="0B2396D7">
      <w:pPr>
        <w:pStyle w:val="4"/>
      </w:pPr>
      <w:r>
        <w:rPr>
          <w:rFonts w:ascii="Calibri" w:hAnsi="Calibri" w:eastAsia="微软雅黑"/>
          <w:b/>
          <w:color w:val="2E74B5"/>
          <w:sz w:val="26"/>
        </w:rPr>
        <w:t>8.3 核验后观察</w:t>
      </w:r>
    </w:p>
    <w:p w14:paraId="5384CEB3">
      <w:pPr>
        <w:spacing w:before="0" w:after="120" w:line="264" w:lineRule="auto"/>
      </w:pPr>
      <w:r>
        <w:rPr>
          <w:rFonts w:ascii="Calibri" w:hAnsi="Calibri" w:eastAsia="微软雅黑"/>
          <w:b w:val="0"/>
          <w:sz w:val="22"/>
        </w:rPr>
        <w:t>迁移后持续观察 24-72 小时：</w:t>
      </w:r>
    </w:p>
    <w:p w14:paraId="3808729B">
      <w:pPr>
        <w:pStyle w:val="16"/>
        <w:numPr>
          <w:ilvl w:val="0"/>
          <w:numId w:val="17"/>
        </w:numPr>
        <w:spacing w:before="0" w:after="160" w:line="280" w:lineRule="auto"/>
        <w:ind w:leftChars="0"/>
      </w:pPr>
      <w:r>
        <w:rPr>
          <w:rFonts w:ascii="Calibri" w:hAnsi="Calibri" w:eastAsia="微软雅黑"/>
          <w:b w:val="0"/>
          <w:sz w:val="22"/>
        </w:rPr>
        <w:t>应用错误率。</w:t>
      </w:r>
    </w:p>
    <w:p w14:paraId="21985B0D">
      <w:pPr>
        <w:pStyle w:val="16"/>
        <w:numPr>
          <w:ilvl w:val="0"/>
          <w:numId w:val="17"/>
        </w:numPr>
        <w:spacing w:before="0" w:after="160" w:line="280" w:lineRule="auto"/>
        <w:ind w:left="360" w:leftChars="0" w:hanging="360" w:firstLineChars="0"/>
      </w:pPr>
      <w:r>
        <w:rPr>
          <w:rFonts w:ascii="Calibri" w:hAnsi="Calibri" w:eastAsia="微软雅黑"/>
          <w:b w:val="0"/>
          <w:sz w:val="22"/>
        </w:rPr>
        <w:t>接口延迟。</w:t>
      </w:r>
    </w:p>
    <w:p w14:paraId="1EFDEAAD">
      <w:pPr>
        <w:pStyle w:val="16"/>
        <w:numPr>
          <w:ilvl w:val="0"/>
          <w:numId w:val="17"/>
        </w:numPr>
        <w:spacing w:before="0" w:after="160" w:line="280" w:lineRule="auto"/>
        <w:ind w:left="360" w:leftChars="0" w:hanging="360" w:firstLineChars="0"/>
      </w:pPr>
      <w:r>
        <w:rPr>
          <w:rFonts w:ascii="Calibri" w:hAnsi="Calibri" w:eastAsia="微软雅黑"/>
          <w:b w:val="0"/>
          <w:sz w:val="22"/>
        </w:rPr>
        <w:t>数据库连接数、复制状态和慢查询。</w:t>
      </w:r>
    </w:p>
    <w:p w14:paraId="383D0516">
      <w:pPr>
        <w:pStyle w:val="16"/>
        <w:numPr>
          <w:ilvl w:val="0"/>
          <w:numId w:val="17"/>
        </w:numPr>
        <w:spacing w:before="0" w:after="160" w:line="280" w:lineRule="auto"/>
        <w:ind w:left="360" w:leftChars="0" w:hanging="360" w:firstLineChars="0"/>
      </w:pPr>
      <w:r>
        <w:rPr>
          <w:rFonts w:ascii="Calibri" w:hAnsi="Calibri" w:eastAsia="微软雅黑"/>
          <w:b w:val="0"/>
          <w:sz w:val="22"/>
        </w:rPr>
        <w:t>MinIO 节点状态、bucket replication 状态、磁盘使用率和对象读写。</w:t>
      </w:r>
    </w:p>
    <w:p w14:paraId="5CAA7E88">
      <w:pPr>
        <w:pStyle w:val="16"/>
        <w:numPr>
          <w:ilvl w:val="0"/>
          <w:numId w:val="17"/>
        </w:numPr>
        <w:spacing w:before="0" w:after="160" w:line="280" w:lineRule="auto"/>
        <w:ind w:left="360" w:leftChars="0" w:hanging="360" w:firstLineChars="0"/>
      </w:pPr>
      <w:r>
        <w:rPr>
          <w:rFonts w:ascii="Calibri" w:hAnsi="Calibri" w:eastAsia="微软雅黑"/>
          <w:b w:val="0"/>
          <w:sz w:val="22"/>
        </w:rPr>
        <w:t>负载均衡健康检查。</w:t>
      </w:r>
    </w:p>
    <w:p w14:paraId="39941D01">
      <w:pPr>
        <w:pStyle w:val="16"/>
        <w:numPr>
          <w:ilvl w:val="0"/>
          <w:numId w:val="17"/>
        </w:numPr>
        <w:spacing w:before="0" w:after="160" w:line="280" w:lineRule="auto"/>
        <w:ind w:left="360" w:leftChars="0" w:hanging="360" w:firstLineChars="0"/>
      </w:pPr>
      <w:r>
        <w:rPr>
          <w:rFonts w:ascii="Calibri" w:hAnsi="Calibri" w:eastAsia="微软雅黑"/>
          <w:b w:val="0"/>
          <w:sz w:val="22"/>
        </w:rPr>
        <w:t>服务器 CPU、内存、磁盘和网络流量。</w:t>
      </w:r>
    </w:p>
    <w:p w14:paraId="54E44408">
      <w:pPr>
        <w:pStyle w:val="3"/>
      </w:pPr>
      <w:r>
        <w:rPr>
          <w:rFonts w:ascii="Calibri" w:hAnsi="Calibri" w:eastAsia="微软雅黑"/>
          <w:b/>
          <w:color w:val="2E74B5"/>
          <w:sz w:val="32"/>
        </w:rPr>
        <w:t>9. 旧环境</w:t>
      </w:r>
    </w:p>
    <w:p w14:paraId="3409DE04">
      <w:pPr>
        <w:pStyle w:val="14"/>
        <w:numPr>
          <w:ilvl w:val="0"/>
          <w:numId w:val="18"/>
        </w:numPr>
        <w:spacing w:before="0" w:after="160" w:line="280" w:lineRule="auto"/>
      </w:pPr>
      <w:r>
        <w:rPr>
          <w:rFonts w:ascii="Calibri" w:hAnsi="Calibri" w:eastAsia="微软雅黑"/>
          <w:b w:val="0"/>
          <w:sz w:val="22"/>
        </w:rPr>
        <w:t>旧环境在部署新环境前直接释放。</w:t>
      </w:r>
    </w:p>
    <w:p w14:paraId="30E297CC">
      <w:pPr>
        <w:pStyle w:val="3"/>
      </w:pPr>
      <w:r>
        <w:rPr>
          <w:rFonts w:ascii="Calibri" w:hAnsi="Calibri" w:eastAsia="微软雅黑"/>
          <w:b/>
          <w:color w:val="2E74B5"/>
          <w:sz w:val="32"/>
        </w:rPr>
        <w:t>10. 验收标准</w:t>
      </w:r>
    </w:p>
    <w:p w14:paraId="0946206F">
      <w:pPr>
        <w:spacing w:before="0" w:after="120" w:line="264" w:lineRule="auto"/>
      </w:pPr>
      <w:r>
        <w:rPr>
          <w:rFonts w:ascii="Calibri" w:hAnsi="Calibri" w:eastAsia="微软雅黑"/>
          <w:b w:val="0"/>
          <w:sz w:val="22"/>
        </w:rPr>
        <w:t>迁移完成后，按以下标准验收：</w:t>
      </w:r>
    </w:p>
    <w:p w14:paraId="0BB51D29">
      <w:pPr>
        <w:pStyle w:val="16"/>
        <w:numPr>
          <w:ilvl w:val="0"/>
          <w:numId w:val="19"/>
        </w:numPr>
        <w:spacing w:before="0" w:after="160" w:line="280" w:lineRule="auto"/>
        <w:ind w:leftChars="0"/>
      </w:pPr>
      <w:r>
        <w:rPr>
          <w:rFonts w:ascii="Calibri" w:hAnsi="Calibri" w:eastAsia="微软雅黑"/>
          <w:b w:val="0"/>
          <w:sz w:val="22"/>
        </w:rPr>
        <w:t>新 HA 入口访问正常。</w:t>
      </w:r>
    </w:p>
    <w:p w14:paraId="15566B33">
      <w:pPr>
        <w:pStyle w:val="16"/>
        <w:numPr>
          <w:ilvl w:val="0"/>
          <w:numId w:val="19"/>
        </w:numPr>
        <w:spacing w:before="0" w:after="160" w:line="280" w:lineRule="auto"/>
        <w:ind w:left="360" w:leftChars="0" w:hanging="360" w:firstLineChars="0"/>
      </w:pPr>
      <w:r>
        <w:rPr>
          <w:rFonts w:ascii="Calibri" w:hAnsi="Calibri" w:eastAsia="微软雅黑"/>
          <w:b w:val="0"/>
          <w:sz w:val="22"/>
        </w:rPr>
        <w:t>应用核心业务流程验证通过。</w:t>
      </w:r>
    </w:p>
    <w:p w14:paraId="457A24B7">
      <w:pPr>
        <w:pStyle w:val="16"/>
        <w:numPr>
          <w:ilvl w:val="0"/>
          <w:numId w:val="19"/>
        </w:numPr>
        <w:spacing w:before="0" w:after="160" w:line="280" w:lineRule="auto"/>
        <w:ind w:left="360" w:leftChars="0" w:hanging="360" w:firstLineChars="0"/>
      </w:pPr>
      <w:r>
        <w:rPr>
          <w:rFonts w:ascii="Calibri" w:hAnsi="Calibri" w:eastAsia="微软雅黑"/>
          <w:b w:val="0"/>
          <w:sz w:val="22"/>
        </w:rPr>
        <w:t>数据库 HA 状态正常，数据完整。</w:t>
      </w:r>
    </w:p>
    <w:p w14:paraId="22C38877">
      <w:pPr>
        <w:pStyle w:val="16"/>
        <w:numPr>
          <w:ilvl w:val="0"/>
          <w:numId w:val="19"/>
        </w:numPr>
        <w:spacing w:before="0" w:after="160" w:line="280" w:lineRule="auto"/>
        <w:ind w:left="360" w:leftChars="0" w:hanging="360" w:firstLineChars="0"/>
      </w:pPr>
      <w:r>
        <w:rPr>
          <w:rFonts w:ascii="Calibri" w:hAnsi="Calibri" w:eastAsia="微软雅黑"/>
          <w:b w:val="0"/>
          <w:sz w:val="22"/>
        </w:rPr>
        <w:t>MinIO 集群状态正常，bucket replication 正常，核心文件访问正常。</w:t>
      </w:r>
    </w:p>
    <w:p w14:paraId="5165E42C">
      <w:pPr>
        <w:pStyle w:val="16"/>
        <w:numPr>
          <w:ilvl w:val="0"/>
          <w:numId w:val="19"/>
        </w:numPr>
        <w:spacing w:before="0" w:after="160" w:line="280" w:lineRule="auto"/>
        <w:ind w:left="360" w:leftChars="0" w:hanging="360" w:firstLineChars="0"/>
      </w:pPr>
      <w:r>
        <w:rPr>
          <w:rFonts w:ascii="Calibri" w:hAnsi="Calibri" w:eastAsia="微软雅黑"/>
          <w:b w:val="0"/>
          <w:sz w:val="22"/>
        </w:rPr>
        <w:t>当前新 DNS 解析和入口访问验证通过。</w:t>
      </w:r>
    </w:p>
    <w:p w14:paraId="4C481511">
      <w:pPr>
        <w:pStyle w:val="16"/>
        <w:numPr>
          <w:ilvl w:val="0"/>
          <w:numId w:val="19"/>
        </w:numPr>
        <w:spacing w:before="0" w:after="160" w:line="280" w:lineRule="auto"/>
        <w:ind w:left="360" w:leftChars="0" w:hanging="360" w:firstLineChars="0"/>
      </w:pPr>
      <w:r>
        <w:rPr>
          <w:rFonts w:ascii="Calibri" w:hAnsi="Calibri" w:eastAsia="微软雅黑"/>
          <w:b w:val="0"/>
          <w:sz w:val="22"/>
        </w:rPr>
        <w:t>迁移日志、备份文件、校验记录完整留存。</w:t>
      </w:r>
    </w:p>
    <w:p w14:paraId="04B3A1EC">
      <w:pPr>
        <w:pStyle w:val="16"/>
        <w:numPr>
          <w:ilvl w:val="0"/>
          <w:numId w:val="19"/>
        </w:numPr>
        <w:spacing w:before="0" w:after="160" w:line="280" w:lineRule="auto"/>
        <w:ind w:left="360" w:leftChars="0" w:hanging="360" w:firstLineChars="0"/>
      </w:pPr>
      <w:r>
        <w:rPr>
          <w:rFonts w:ascii="Calibri" w:hAnsi="Calibri" w:eastAsia="微软雅黑"/>
          <w:b w:val="0"/>
          <w:sz w:val="22"/>
        </w:rPr>
        <w:t>确认业务可用并完成验收签字或邮件确认。</w:t>
      </w:r>
    </w:p>
    <w:p w14:paraId="02B29F3A">
      <w:pPr>
        <w:pStyle w:val="3"/>
      </w:pPr>
      <w:r>
        <w:rPr>
          <w:rFonts w:ascii="Calibri" w:hAnsi="Calibri" w:eastAsia="微软雅黑"/>
          <w:b/>
          <w:color w:val="2E74B5"/>
          <w:sz w:val="32"/>
        </w:rPr>
        <w:t>11. 配合事项</w:t>
      </w:r>
    </w:p>
    <w:p w14:paraId="09C7BECD">
      <w:pPr>
        <w:spacing w:before="0" w:after="120" w:line="264" w:lineRule="auto"/>
      </w:pPr>
      <w:r>
        <w:rPr>
          <w:rFonts w:ascii="Calibri" w:hAnsi="Calibri" w:eastAsia="微软雅黑"/>
          <w:b w:val="0"/>
          <w:sz w:val="22"/>
        </w:rPr>
        <w:t>客户侧需要提前配合确认：</w:t>
      </w:r>
    </w:p>
    <w:p w14:paraId="234117E7">
      <w:pPr>
        <w:pStyle w:val="16"/>
        <w:numPr>
          <w:ilvl w:val="0"/>
          <w:numId w:val="20"/>
        </w:numPr>
        <w:spacing w:before="0" w:after="160" w:line="280" w:lineRule="auto"/>
        <w:ind w:leftChars="0"/>
      </w:pPr>
      <w:r>
        <w:rPr>
          <w:rFonts w:ascii="Calibri" w:hAnsi="Calibri" w:eastAsia="微软雅黑"/>
          <w:b w:val="0"/>
          <w:sz w:val="22"/>
        </w:rPr>
        <w:t>新环境服务器资源和网络策略。</w:t>
      </w:r>
    </w:p>
    <w:p w14:paraId="7388B102">
      <w:pPr>
        <w:pStyle w:val="16"/>
        <w:numPr>
          <w:ilvl w:val="0"/>
          <w:numId w:val="20"/>
        </w:numPr>
        <w:spacing w:before="0" w:after="160" w:line="280" w:lineRule="auto"/>
        <w:ind w:left="360" w:leftChars="0" w:hanging="360" w:firstLineChars="0"/>
      </w:pPr>
      <w:r>
        <w:rPr>
          <w:rFonts w:ascii="Calibri" w:hAnsi="Calibri" w:eastAsia="微软雅黑"/>
          <w:b w:val="0"/>
          <w:sz w:val="22"/>
        </w:rPr>
        <w:t>DNS 当前记录、证书和入口配置确认人。</w:t>
      </w:r>
    </w:p>
    <w:p w14:paraId="0739606D">
      <w:pPr>
        <w:pStyle w:val="3"/>
      </w:pPr>
      <w:r>
        <w:rPr>
          <w:rFonts w:ascii="Calibri" w:hAnsi="Calibri" w:eastAsia="微软雅黑"/>
          <w:b/>
          <w:color w:val="2E74B5"/>
          <w:sz w:val="32"/>
        </w:rPr>
        <w:t>12. 迁移当天检查清单</w:t>
      </w:r>
    </w:p>
    <w:tbl>
      <w:tblPr>
        <w:tblStyle w:val="33"/>
        <w:tblW w:w="9360" w:type="dxa"/>
        <w:tblInd w:w="120" w:type="dxa"/>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Layout w:type="fixed"/>
        <w:tblCellMar>
          <w:top w:w="0" w:type="dxa"/>
          <w:left w:w="108" w:type="dxa"/>
          <w:bottom w:w="0" w:type="dxa"/>
          <w:right w:w="108" w:type="dxa"/>
        </w:tblCellMar>
      </w:tblPr>
      <w:tblGrid>
        <w:gridCol w:w="3600"/>
        <w:gridCol w:w="5760"/>
      </w:tblGrid>
      <w:tr w14:paraId="1BEFBC38">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rPr>
          <w:tblHeader/>
        </w:trPr>
        <w:tc>
          <w:tcPr>
            <w:tcW w:w="3600" w:type="dxa"/>
            <w:shd w:val="clear" w:color="auto" w:fill="F2F4F7"/>
            <w:tcMar>
              <w:top w:w="80" w:type="dxa"/>
              <w:left w:w="120" w:type="dxa"/>
              <w:bottom w:w="80" w:type="dxa"/>
              <w:right w:w="120" w:type="dxa"/>
            </w:tcMar>
            <w:vAlign w:val="center"/>
          </w:tcPr>
          <w:p w14:paraId="1DDC6993">
            <w:pPr>
              <w:spacing w:before="0" w:after="0" w:line="264" w:lineRule="auto"/>
              <w:jc w:val="left"/>
            </w:pPr>
            <w:r>
              <w:rPr>
                <w:rFonts w:ascii="Calibri" w:hAnsi="Calibri" w:eastAsia="微软雅黑"/>
                <w:b/>
                <w:sz w:val="20"/>
              </w:rPr>
              <w:t>检查项</w:t>
            </w:r>
          </w:p>
        </w:tc>
        <w:tc>
          <w:tcPr>
            <w:tcW w:w="5760" w:type="dxa"/>
            <w:shd w:val="clear" w:color="auto" w:fill="F2F4F7"/>
            <w:tcMar>
              <w:top w:w="80" w:type="dxa"/>
              <w:left w:w="120" w:type="dxa"/>
              <w:bottom w:w="80" w:type="dxa"/>
              <w:right w:w="120" w:type="dxa"/>
            </w:tcMar>
            <w:vAlign w:val="center"/>
          </w:tcPr>
          <w:p w14:paraId="3DE19212">
            <w:pPr>
              <w:spacing w:before="0" w:after="0" w:line="264" w:lineRule="auto"/>
              <w:jc w:val="center"/>
            </w:pPr>
            <w:r>
              <w:rPr>
                <w:rFonts w:ascii="Calibri" w:hAnsi="Calibri" w:eastAsia="微软雅黑"/>
                <w:b/>
                <w:sz w:val="20"/>
              </w:rPr>
              <w:t>状态</w:t>
            </w:r>
          </w:p>
        </w:tc>
      </w:tr>
      <w:tr w14:paraId="70198C1B">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c>
          <w:tcPr>
            <w:tcW w:w="3600" w:type="dxa"/>
            <w:tcMar>
              <w:top w:w="80" w:type="dxa"/>
              <w:left w:w="120" w:type="dxa"/>
              <w:bottom w:w="80" w:type="dxa"/>
              <w:right w:w="120" w:type="dxa"/>
            </w:tcMar>
            <w:vAlign w:val="center"/>
          </w:tcPr>
          <w:p w14:paraId="62A362D4">
            <w:pPr>
              <w:spacing w:before="0" w:after="0" w:line="264" w:lineRule="auto"/>
              <w:jc w:val="left"/>
            </w:pPr>
            <w:r>
              <w:rPr>
                <w:rFonts w:ascii="Calibri" w:hAnsi="Calibri" w:eastAsia="微软雅黑"/>
                <w:b w:val="0"/>
                <w:sz w:val="20"/>
              </w:rPr>
              <w:t>已通知业务方迁移窗口</w:t>
            </w:r>
          </w:p>
        </w:tc>
        <w:tc>
          <w:tcPr>
            <w:tcW w:w="5760" w:type="dxa"/>
            <w:tcMar>
              <w:top w:w="80" w:type="dxa"/>
              <w:left w:w="120" w:type="dxa"/>
              <w:bottom w:w="80" w:type="dxa"/>
              <w:right w:w="120" w:type="dxa"/>
            </w:tcMar>
            <w:vAlign w:val="center"/>
          </w:tcPr>
          <w:p w14:paraId="20EEA345">
            <w:pPr>
              <w:spacing w:before="0" w:after="0" w:line="264" w:lineRule="auto"/>
              <w:jc w:val="center"/>
            </w:pPr>
            <w:r>
              <w:rPr>
                <w:rFonts w:ascii="Calibri" w:hAnsi="Calibri" w:eastAsia="微软雅黑"/>
                <w:b w:val="0"/>
                <w:sz w:val="20"/>
              </w:rPr>
              <w:t>待确认</w:t>
            </w:r>
          </w:p>
        </w:tc>
      </w:tr>
      <w:tr w14:paraId="5C2C3037">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c>
          <w:tcPr>
            <w:tcW w:w="3600" w:type="dxa"/>
            <w:tcMar>
              <w:top w:w="80" w:type="dxa"/>
              <w:left w:w="120" w:type="dxa"/>
              <w:bottom w:w="80" w:type="dxa"/>
              <w:right w:w="120" w:type="dxa"/>
            </w:tcMar>
            <w:vAlign w:val="center"/>
          </w:tcPr>
          <w:p w14:paraId="6B957F49">
            <w:pPr>
              <w:spacing w:before="0" w:after="0" w:line="264" w:lineRule="auto"/>
              <w:jc w:val="left"/>
            </w:pPr>
            <w:r>
              <w:rPr>
                <w:rFonts w:ascii="Calibri" w:hAnsi="Calibri" w:eastAsia="微软雅黑"/>
                <w:b w:val="0"/>
                <w:sz w:val="20"/>
              </w:rPr>
              <w:t>当前新 DNS 解析已确认</w:t>
            </w:r>
          </w:p>
        </w:tc>
        <w:tc>
          <w:tcPr>
            <w:tcW w:w="5760" w:type="dxa"/>
            <w:tcMar>
              <w:top w:w="80" w:type="dxa"/>
              <w:left w:w="120" w:type="dxa"/>
              <w:bottom w:w="80" w:type="dxa"/>
              <w:right w:w="120" w:type="dxa"/>
            </w:tcMar>
            <w:vAlign w:val="center"/>
          </w:tcPr>
          <w:p w14:paraId="27416621">
            <w:pPr>
              <w:spacing w:before="0" w:after="0" w:line="264" w:lineRule="auto"/>
              <w:jc w:val="center"/>
            </w:pPr>
            <w:r>
              <w:rPr>
                <w:rFonts w:ascii="Calibri" w:hAnsi="Calibri" w:eastAsia="微软雅黑"/>
                <w:b w:val="0"/>
                <w:sz w:val="20"/>
              </w:rPr>
              <w:t>待确认</w:t>
            </w:r>
          </w:p>
        </w:tc>
      </w:tr>
      <w:tr w14:paraId="48F1478B">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c>
          <w:tcPr>
            <w:tcW w:w="3600" w:type="dxa"/>
            <w:tcMar>
              <w:top w:w="80" w:type="dxa"/>
              <w:left w:w="120" w:type="dxa"/>
              <w:bottom w:w="80" w:type="dxa"/>
              <w:right w:w="120" w:type="dxa"/>
            </w:tcMar>
            <w:vAlign w:val="center"/>
          </w:tcPr>
          <w:p w14:paraId="41E0C704">
            <w:pPr>
              <w:spacing w:before="0" w:after="0" w:line="264" w:lineRule="auto"/>
              <w:jc w:val="left"/>
            </w:pPr>
            <w:r>
              <w:rPr>
                <w:rFonts w:ascii="Calibri" w:hAnsi="Calibri" w:eastAsia="微软雅黑"/>
                <w:b w:val="0"/>
                <w:sz w:val="20"/>
              </w:rPr>
              <w:t>新服务器资源已准备</w:t>
            </w:r>
          </w:p>
        </w:tc>
        <w:tc>
          <w:tcPr>
            <w:tcW w:w="5760" w:type="dxa"/>
            <w:tcMar>
              <w:top w:w="80" w:type="dxa"/>
              <w:left w:w="120" w:type="dxa"/>
              <w:bottom w:w="80" w:type="dxa"/>
              <w:right w:w="120" w:type="dxa"/>
            </w:tcMar>
            <w:vAlign w:val="center"/>
          </w:tcPr>
          <w:p w14:paraId="156CBCAA">
            <w:pPr>
              <w:spacing w:before="0" w:after="0" w:line="264" w:lineRule="auto"/>
              <w:jc w:val="center"/>
            </w:pPr>
            <w:r>
              <w:rPr>
                <w:rFonts w:ascii="Calibri" w:hAnsi="Calibri" w:eastAsia="微软雅黑"/>
                <w:b w:val="0"/>
                <w:sz w:val="20"/>
              </w:rPr>
              <w:t>待确认</w:t>
            </w:r>
          </w:p>
        </w:tc>
      </w:tr>
      <w:tr w14:paraId="769DB541">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c>
          <w:tcPr>
            <w:tcW w:w="3600" w:type="dxa"/>
            <w:tcMar>
              <w:top w:w="80" w:type="dxa"/>
              <w:left w:w="120" w:type="dxa"/>
              <w:bottom w:w="80" w:type="dxa"/>
              <w:right w:w="120" w:type="dxa"/>
            </w:tcMar>
            <w:vAlign w:val="center"/>
          </w:tcPr>
          <w:p w14:paraId="5510D31A">
            <w:pPr>
              <w:spacing w:before="0" w:after="0" w:line="264" w:lineRule="auto"/>
              <w:jc w:val="left"/>
            </w:pPr>
            <w:r>
              <w:rPr>
                <w:rFonts w:ascii="Calibri" w:hAnsi="Calibri" w:eastAsia="微软雅黑"/>
                <w:b w:val="0"/>
                <w:sz w:val="20"/>
              </w:rPr>
              <w:t>数据库集群已部署</w:t>
            </w:r>
          </w:p>
        </w:tc>
        <w:tc>
          <w:tcPr>
            <w:tcW w:w="5760" w:type="dxa"/>
            <w:tcMar>
              <w:top w:w="80" w:type="dxa"/>
              <w:left w:w="120" w:type="dxa"/>
              <w:bottom w:w="80" w:type="dxa"/>
              <w:right w:w="120" w:type="dxa"/>
            </w:tcMar>
            <w:vAlign w:val="center"/>
          </w:tcPr>
          <w:p w14:paraId="33EA49D5">
            <w:pPr>
              <w:spacing w:before="0" w:after="0" w:line="264" w:lineRule="auto"/>
              <w:jc w:val="center"/>
            </w:pPr>
            <w:r>
              <w:rPr>
                <w:rFonts w:ascii="Calibri" w:hAnsi="Calibri" w:eastAsia="微软雅黑"/>
                <w:b w:val="0"/>
                <w:sz w:val="20"/>
              </w:rPr>
              <w:t>待确认</w:t>
            </w:r>
          </w:p>
        </w:tc>
      </w:tr>
      <w:tr w14:paraId="31DF3DB3">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c>
          <w:tcPr>
            <w:tcW w:w="3600" w:type="dxa"/>
            <w:tcMar>
              <w:top w:w="80" w:type="dxa"/>
              <w:left w:w="120" w:type="dxa"/>
              <w:bottom w:w="80" w:type="dxa"/>
              <w:right w:w="120" w:type="dxa"/>
            </w:tcMar>
            <w:vAlign w:val="center"/>
          </w:tcPr>
          <w:p w14:paraId="0A2D5F59">
            <w:pPr>
              <w:spacing w:before="0" w:after="0" w:line="264" w:lineRule="auto"/>
              <w:jc w:val="left"/>
            </w:pPr>
            <w:r>
              <w:rPr>
                <w:rFonts w:ascii="Calibri" w:hAnsi="Calibri" w:eastAsia="微软雅黑"/>
                <w:b w:val="0"/>
                <w:sz w:val="20"/>
              </w:rPr>
              <w:t>MinIO集群已部署</w:t>
            </w:r>
          </w:p>
        </w:tc>
        <w:tc>
          <w:tcPr>
            <w:tcW w:w="5760" w:type="dxa"/>
            <w:tcMar>
              <w:top w:w="80" w:type="dxa"/>
              <w:left w:w="120" w:type="dxa"/>
              <w:bottom w:w="80" w:type="dxa"/>
              <w:right w:w="120" w:type="dxa"/>
            </w:tcMar>
            <w:vAlign w:val="center"/>
          </w:tcPr>
          <w:p w14:paraId="7BFF8BBA">
            <w:pPr>
              <w:spacing w:before="0" w:after="0" w:line="264" w:lineRule="auto"/>
              <w:jc w:val="center"/>
            </w:pPr>
            <w:r>
              <w:rPr>
                <w:rFonts w:ascii="Calibri" w:hAnsi="Calibri" w:eastAsia="微软雅黑"/>
                <w:b w:val="0"/>
                <w:sz w:val="20"/>
              </w:rPr>
              <w:t>待确认</w:t>
            </w:r>
          </w:p>
        </w:tc>
      </w:tr>
      <w:tr w14:paraId="609E625F">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c>
          <w:tcPr>
            <w:tcW w:w="3600" w:type="dxa"/>
            <w:tcMar>
              <w:top w:w="80" w:type="dxa"/>
              <w:left w:w="120" w:type="dxa"/>
              <w:bottom w:w="80" w:type="dxa"/>
              <w:right w:w="120" w:type="dxa"/>
            </w:tcMar>
            <w:vAlign w:val="center"/>
          </w:tcPr>
          <w:p w14:paraId="3FD0BB4D">
            <w:pPr>
              <w:spacing w:before="0" w:after="0" w:line="264" w:lineRule="auto"/>
              <w:jc w:val="left"/>
            </w:pPr>
            <w:r>
              <w:rPr>
                <w:rFonts w:ascii="Calibri" w:hAnsi="Calibri" w:eastAsia="微软雅黑"/>
                <w:b w:val="0"/>
                <w:sz w:val="20"/>
              </w:rPr>
              <w:t>应用服务已部署到新环境</w:t>
            </w:r>
          </w:p>
        </w:tc>
        <w:tc>
          <w:tcPr>
            <w:tcW w:w="5760" w:type="dxa"/>
            <w:tcMar>
              <w:top w:w="80" w:type="dxa"/>
              <w:left w:w="120" w:type="dxa"/>
              <w:bottom w:w="80" w:type="dxa"/>
              <w:right w:w="120" w:type="dxa"/>
            </w:tcMar>
            <w:vAlign w:val="center"/>
          </w:tcPr>
          <w:p w14:paraId="15B32E14">
            <w:pPr>
              <w:spacing w:before="0" w:after="0" w:line="264" w:lineRule="auto"/>
              <w:jc w:val="center"/>
            </w:pPr>
            <w:r>
              <w:rPr>
                <w:rFonts w:ascii="Calibri" w:hAnsi="Calibri" w:eastAsia="微软雅黑"/>
                <w:b w:val="0"/>
                <w:sz w:val="20"/>
              </w:rPr>
              <w:t>待确认</w:t>
            </w:r>
          </w:p>
        </w:tc>
      </w:tr>
      <w:tr w14:paraId="5571AC4D">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c>
          <w:tcPr>
            <w:tcW w:w="3600" w:type="dxa"/>
            <w:tcMar>
              <w:top w:w="80" w:type="dxa"/>
              <w:left w:w="120" w:type="dxa"/>
              <w:bottom w:w="80" w:type="dxa"/>
              <w:right w:w="120" w:type="dxa"/>
            </w:tcMar>
            <w:vAlign w:val="center"/>
          </w:tcPr>
          <w:p w14:paraId="7F668965">
            <w:pPr>
              <w:spacing w:before="0" w:after="0" w:line="264" w:lineRule="auto"/>
              <w:jc w:val="left"/>
            </w:pPr>
            <w:r>
              <w:rPr>
                <w:rFonts w:ascii="Calibri" w:hAnsi="Calibri" w:eastAsia="微软雅黑"/>
                <w:b w:val="0"/>
                <w:sz w:val="20"/>
              </w:rPr>
              <w:t>数据库最终备份完成</w:t>
            </w:r>
          </w:p>
        </w:tc>
        <w:tc>
          <w:tcPr>
            <w:tcW w:w="5760" w:type="dxa"/>
            <w:tcMar>
              <w:top w:w="80" w:type="dxa"/>
              <w:left w:w="120" w:type="dxa"/>
              <w:bottom w:w="80" w:type="dxa"/>
              <w:right w:w="120" w:type="dxa"/>
            </w:tcMar>
            <w:vAlign w:val="center"/>
          </w:tcPr>
          <w:p w14:paraId="7472A7EB">
            <w:pPr>
              <w:spacing w:before="0" w:after="0" w:line="264" w:lineRule="auto"/>
              <w:jc w:val="center"/>
            </w:pPr>
            <w:r>
              <w:rPr>
                <w:rFonts w:ascii="Calibri" w:hAnsi="Calibri" w:eastAsia="微软雅黑"/>
                <w:b w:val="0"/>
                <w:sz w:val="20"/>
              </w:rPr>
              <w:t>待确认</w:t>
            </w:r>
          </w:p>
        </w:tc>
      </w:tr>
      <w:tr w14:paraId="0379BDE2">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c>
          <w:tcPr>
            <w:tcW w:w="3600" w:type="dxa"/>
            <w:tcMar>
              <w:top w:w="80" w:type="dxa"/>
              <w:left w:w="120" w:type="dxa"/>
              <w:bottom w:w="80" w:type="dxa"/>
              <w:right w:w="120" w:type="dxa"/>
            </w:tcMar>
            <w:vAlign w:val="center"/>
          </w:tcPr>
          <w:p w14:paraId="66DCF13E">
            <w:pPr>
              <w:spacing w:before="0" w:after="0" w:line="264" w:lineRule="auto"/>
              <w:jc w:val="left"/>
            </w:pPr>
            <w:r>
              <w:rPr>
                <w:rFonts w:ascii="Calibri" w:hAnsi="Calibri" w:eastAsia="微软雅黑"/>
                <w:b w:val="0"/>
                <w:sz w:val="20"/>
              </w:rPr>
              <w:t>MinIO 最终同步完成</w:t>
            </w:r>
          </w:p>
        </w:tc>
        <w:tc>
          <w:tcPr>
            <w:tcW w:w="5760" w:type="dxa"/>
            <w:tcMar>
              <w:top w:w="80" w:type="dxa"/>
              <w:left w:w="120" w:type="dxa"/>
              <w:bottom w:w="80" w:type="dxa"/>
              <w:right w:w="120" w:type="dxa"/>
            </w:tcMar>
            <w:vAlign w:val="center"/>
          </w:tcPr>
          <w:p w14:paraId="64D3894F">
            <w:pPr>
              <w:spacing w:before="0" w:after="0" w:line="264" w:lineRule="auto"/>
              <w:jc w:val="center"/>
            </w:pPr>
            <w:r>
              <w:rPr>
                <w:rFonts w:ascii="Calibri" w:hAnsi="Calibri" w:eastAsia="微软雅黑"/>
                <w:b w:val="0"/>
                <w:sz w:val="20"/>
              </w:rPr>
              <w:t>待确认</w:t>
            </w:r>
          </w:p>
        </w:tc>
      </w:tr>
      <w:tr w14:paraId="65353F2D">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c>
          <w:tcPr>
            <w:tcW w:w="3600" w:type="dxa"/>
            <w:tcMar>
              <w:top w:w="80" w:type="dxa"/>
              <w:left w:w="120" w:type="dxa"/>
              <w:bottom w:w="80" w:type="dxa"/>
              <w:right w:w="120" w:type="dxa"/>
            </w:tcMar>
            <w:vAlign w:val="center"/>
          </w:tcPr>
          <w:p w14:paraId="03DB5D24">
            <w:pPr>
              <w:spacing w:before="0" w:after="0" w:line="264" w:lineRule="auto"/>
              <w:jc w:val="left"/>
            </w:pPr>
            <w:r>
              <w:rPr>
                <w:rFonts w:ascii="Calibri" w:hAnsi="Calibri" w:eastAsia="微软雅黑"/>
                <w:b w:val="0"/>
                <w:sz w:val="20"/>
              </w:rPr>
              <w:t>数据库恢复校验通过</w:t>
            </w:r>
          </w:p>
        </w:tc>
        <w:tc>
          <w:tcPr>
            <w:tcW w:w="5760" w:type="dxa"/>
            <w:tcMar>
              <w:top w:w="80" w:type="dxa"/>
              <w:left w:w="120" w:type="dxa"/>
              <w:bottom w:w="80" w:type="dxa"/>
              <w:right w:w="120" w:type="dxa"/>
            </w:tcMar>
            <w:vAlign w:val="center"/>
          </w:tcPr>
          <w:p w14:paraId="0864E557">
            <w:pPr>
              <w:spacing w:before="0" w:after="0" w:line="264" w:lineRule="auto"/>
              <w:jc w:val="center"/>
            </w:pPr>
            <w:r>
              <w:rPr>
                <w:rFonts w:ascii="Calibri" w:hAnsi="Calibri" w:eastAsia="微软雅黑"/>
                <w:b w:val="0"/>
                <w:sz w:val="20"/>
              </w:rPr>
              <w:t>待确认</w:t>
            </w:r>
          </w:p>
        </w:tc>
      </w:tr>
      <w:tr w14:paraId="2AEFB806">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c>
          <w:tcPr>
            <w:tcW w:w="3600" w:type="dxa"/>
            <w:tcMar>
              <w:top w:w="80" w:type="dxa"/>
              <w:left w:w="120" w:type="dxa"/>
              <w:bottom w:w="80" w:type="dxa"/>
              <w:right w:w="120" w:type="dxa"/>
            </w:tcMar>
            <w:vAlign w:val="center"/>
          </w:tcPr>
          <w:p w14:paraId="1FE4D5F5">
            <w:pPr>
              <w:spacing w:before="0" w:after="0" w:line="264" w:lineRule="auto"/>
              <w:jc w:val="left"/>
            </w:pPr>
            <w:r>
              <w:rPr>
                <w:rFonts w:ascii="Calibri" w:hAnsi="Calibri" w:eastAsia="微软雅黑"/>
                <w:b w:val="0"/>
                <w:sz w:val="20"/>
              </w:rPr>
              <w:t>MinIO 恢复校验通过</w:t>
            </w:r>
          </w:p>
        </w:tc>
        <w:tc>
          <w:tcPr>
            <w:tcW w:w="5760" w:type="dxa"/>
            <w:tcMar>
              <w:top w:w="80" w:type="dxa"/>
              <w:left w:w="120" w:type="dxa"/>
              <w:bottom w:w="80" w:type="dxa"/>
              <w:right w:w="120" w:type="dxa"/>
            </w:tcMar>
            <w:vAlign w:val="center"/>
          </w:tcPr>
          <w:p w14:paraId="26CFD440">
            <w:pPr>
              <w:spacing w:before="0" w:after="0" w:line="264" w:lineRule="auto"/>
              <w:jc w:val="center"/>
            </w:pPr>
            <w:r>
              <w:rPr>
                <w:rFonts w:ascii="Calibri" w:hAnsi="Calibri" w:eastAsia="微软雅黑"/>
                <w:b w:val="0"/>
                <w:sz w:val="20"/>
              </w:rPr>
              <w:t>待确认</w:t>
            </w:r>
          </w:p>
        </w:tc>
      </w:tr>
      <w:tr w14:paraId="589AC6B3">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c>
          <w:tcPr>
            <w:tcW w:w="3600" w:type="dxa"/>
            <w:tcMar>
              <w:top w:w="80" w:type="dxa"/>
              <w:left w:w="120" w:type="dxa"/>
              <w:bottom w:w="80" w:type="dxa"/>
              <w:right w:w="120" w:type="dxa"/>
            </w:tcMar>
            <w:vAlign w:val="center"/>
          </w:tcPr>
          <w:p w14:paraId="2209F1F1">
            <w:pPr>
              <w:spacing w:before="0" w:after="0" w:line="264" w:lineRule="auto"/>
              <w:jc w:val="left"/>
            </w:pPr>
            <w:r>
              <w:rPr>
                <w:rFonts w:ascii="Calibri" w:hAnsi="Calibri" w:eastAsia="微软雅黑"/>
                <w:b w:val="0"/>
                <w:sz w:val="20"/>
              </w:rPr>
              <w:t>新环境业务验证通过</w:t>
            </w:r>
          </w:p>
        </w:tc>
        <w:tc>
          <w:tcPr>
            <w:tcW w:w="5760" w:type="dxa"/>
            <w:tcMar>
              <w:top w:w="80" w:type="dxa"/>
              <w:left w:w="120" w:type="dxa"/>
              <w:bottom w:w="80" w:type="dxa"/>
              <w:right w:w="120" w:type="dxa"/>
            </w:tcMar>
            <w:vAlign w:val="center"/>
          </w:tcPr>
          <w:p w14:paraId="0843E16C">
            <w:pPr>
              <w:spacing w:before="0" w:after="0" w:line="264" w:lineRule="auto"/>
              <w:jc w:val="center"/>
            </w:pPr>
            <w:r>
              <w:rPr>
                <w:rFonts w:ascii="Calibri" w:hAnsi="Calibri" w:eastAsia="微软雅黑"/>
                <w:b w:val="0"/>
                <w:sz w:val="20"/>
              </w:rPr>
              <w:t>待确认</w:t>
            </w:r>
          </w:p>
        </w:tc>
      </w:tr>
      <w:tr w14:paraId="3F02FCBC">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c>
          <w:tcPr>
            <w:tcW w:w="3600" w:type="dxa"/>
            <w:tcMar>
              <w:top w:w="80" w:type="dxa"/>
              <w:left w:w="120" w:type="dxa"/>
              <w:bottom w:w="80" w:type="dxa"/>
              <w:right w:w="120" w:type="dxa"/>
            </w:tcMar>
            <w:vAlign w:val="center"/>
          </w:tcPr>
          <w:p w14:paraId="5AB5E9FD">
            <w:pPr>
              <w:spacing w:before="0" w:after="0" w:line="264" w:lineRule="auto"/>
              <w:jc w:val="left"/>
            </w:pPr>
            <w:r>
              <w:rPr>
                <w:rFonts w:ascii="Calibri" w:hAnsi="Calibri" w:eastAsia="微软雅黑"/>
                <w:b w:val="0"/>
                <w:sz w:val="20"/>
              </w:rPr>
              <w:t>DNS 解析和入口访问已核验</w:t>
            </w:r>
          </w:p>
        </w:tc>
        <w:tc>
          <w:tcPr>
            <w:tcW w:w="5760" w:type="dxa"/>
            <w:tcMar>
              <w:top w:w="80" w:type="dxa"/>
              <w:left w:w="120" w:type="dxa"/>
              <w:bottom w:w="80" w:type="dxa"/>
              <w:right w:w="120" w:type="dxa"/>
            </w:tcMar>
            <w:vAlign w:val="center"/>
          </w:tcPr>
          <w:p w14:paraId="0ECC1B5D">
            <w:pPr>
              <w:spacing w:before="0" w:after="0" w:line="264" w:lineRule="auto"/>
              <w:jc w:val="center"/>
            </w:pPr>
            <w:r>
              <w:rPr>
                <w:rFonts w:ascii="Calibri" w:hAnsi="Calibri" w:eastAsia="微软雅黑"/>
                <w:b w:val="0"/>
                <w:sz w:val="20"/>
              </w:rPr>
              <w:t>待确认</w:t>
            </w:r>
          </w:p>
        </w:tc>
      </w:tr>
      <w:tr w14:paraId="33A30A05">
        <w:tblPrEx>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CellMar>
            <w:top w:w="0" w:type="dxa"/>
            <w:left w:w="108" w:type="dxa"/>
            <w:bottom w:w="0" w:type="dxa"/>
            <w:right w:w="108" w:type="dxa"/>
          </w:tblCellMar>
        </w:tblPrEx>
        <w:tc>
          <w:tcPr>
            <w:tcW w:w="3600" w:type="dxa"/>
            <w:tcMar>
              <w:top w:w="80" w:type="dxa"/>
              <w:left w:w="120" w:type="dxa"/>
              <w:bottom w:w="80" w:type="dxa"/>
              <w:right w:w="120" w:type="dxa"/>
            </w:tcMar>
            <w:vAlign w:val="center"/>
          </w:tcPr>
          <w:p w14:paraId="1BB99827">
            <w:pPr>
              <w:spacing w:before="0" w:after="0" w:line="264" w:lineRule="auto"/>
              <w:jc w:val="left"/>
            </w:pPr>
            <w:r>
              <w:rPr>
                <w:rFonts w:ascii="Calibri" w:hAnsi="Calibri" w:eastAsia="微软雅黑"/>
                <w:b w:val="0"/>
                <w:sz w:val="20"/>
              </w:rPr>
              <w:t>迁移后监控正常</w:t>
            </w:r>
          </w:p>
        </w:tc>
        <w:tc>
          <w:tcPr>
            <w:tcW w:w="5760" w:type="dxa"/>
            <w:tcMar>
              <w:top w:w="80" w:type="dxa"/>
              <w:left w:w="120" w:type="dxa"/>
              <w:bottom w:w="80" w:type="dxa"/>
              <w:right w:w="120" w:type="dxa"/>
            </w:tcMar>
            <w:vAlign w:val="center"/>
          </w:tcPr>
          <w:p w14:paraId="19FF8640">
            <w:pPr>
              <w:spacing w:before="0" w:after="0" w:line="264" w:lineRule="auto"/>
              <w:jc w:val="center"/>
            </w:pPr>
            <w:r>
              <w:rPr>
                <w:rFonts w:ascii="Calibri" w:hAnsi="Calibri" w:eastAsia="微软雅黑"/>
                <w:b w:val="0"/>
                <w:sz w:val="20"/>
              </w:rPr>
              <w:t>待确认</w:t>
            </w:r>
          </w:p>
        </w:tc>
      </w:tr>
    </w:tbl>
    <w:p w14:paraId="5DA5B874">
      <w:pPr>
        <w:spacing w:before="0" w:after="160" w:line="240" w:lineRule="auto"/>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1C501">
    <w:pPr>
      <w:pStyle w:val="24"/>
      <w:jc w:val="right"/>
    </w:pPr>
    <w:r>
      <w:rPr>
        <w:rFonts w:ascii="Calibri" w:hAnsi="Calibri" w:eastAsia="微软雅黑"/>
        <w:color w:val="666666"/>
        <w:sz w:val="18"/>
      </w:rPr>
      <w:t>第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08ED0">
    <w:pPr>
      <w:pStyle w:val="25"/>
      <w:jc w:val="right"/>
    </w:pPr>
    <w:r>
      <w:rPr>
        <w:rFonts w:ascii="Calibri" w:hAnsi="Calibri" w:eastAsia="微软雅黑"/>
        <w:color w:val="666666"/>
        <w:sz w:val="18"/>
      </w:rPr>
      <w:t>阿尔及利亚项目迁移计划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EB69BC"/>
    <w:multiLevelType w:val="singleLevel"/>
    <w:tmpl w:val="A5EB69BC"/>
    <w:lvl w:ilvl="0" w:tentative="0">
      <w:start w:val="1"/>
      <w:numFmt w:val="decimal"/>
      <w:lvlText w:val="%1."/>
      <w:lvlJc w:val="left"/>
    </w:lvl>
  </w:abstractNum>
  <w:abstractNum w:abstractNumId="1">
    <w:nsid w:val="C3FF6635"/>
    <w:multiLevelType w:val="singleLevel"/>
    <w:tmpl w:val="C3FF6635"/>
    <w:lvl w:ilvl="0" w:tentative="0">
      <w:start w:val="1"/>
      <w:numFmt w:val="decimal"/>
      <w:lvlText w:val="%1."/>
      <w:lvlJc w:val="left"/>
    </w:lvl>
  </w:abstractNum>
  <w:abstractNum w:abstractNumId="2">
    <w:nsid w:val="CB9A7F57"/>
    <w:multiLevelType w:val="singleLevel"/>
    <w:tmpl w:val="CB9A7F57"/>
    <w:lvl w:ilvl="0" w:tentative="0">
      <w:start w:val="1"/>
      <w:numFmt w:val="decimal"/>
      <w:lvlText w:val="%1."/>
      <w:lvlJc w:val="left"/>
    </w:lvl>
  </w:abstractNum>
  <w:abstractNum w:abstractNumId="3">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42E35F8E"/>
    <w:multiLevelType w:val="singleLevel"/>
    <w:tmpl w:val="42E35F8E"/>
    <w:lvl w:ilvl="0" w:tentative="0">
      <w:start w:val="1"/>
      <w:numFmt w:val="decimal"/>
      <w:lvlText w:val="%1."/>
      <w:lvlJc w:val="left"/>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9"/>
  </w:num>
  <w:num w:numId="8">
    <w:abstractNumId w:val="7"/>
    <w:lvlOverride w:ilvl="0">
      <w:startOverride w:val="1"/>
    </w:lvlOverride>
  </w:num>
  <w:num w:numId="9">
    <w:abstractNumId w:val="7"/>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0"/>
  </w:num>
  <w:num w:numId="18">
    <w:abstractNumId w:val="7"/>
    <w:lvlOverride w:ilvl="0">
      <w:startOverride w:val="1"/>
    </w:lvlOverride>
  </w:num>
  <w:num w:numId="19">
    <w:abstractNumId w:val="2"/>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797F78"/>
    <w:rsid w:val="07AD565A"/>
    <w:rsid w:val="0AC74282"/>
    <w:rsid w:val="14C452E4"/>
    <w:rsid w:val="525A6192"/>
    <w:rsid w:val="6B8D5A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264" w:lineRule="auto"/>
    </w:pPr>
    <w:rPr>
      <w:rFonts w:ascii="Calibri" w:hAnsi="Calibri" w:eastAsia="微软雅黑" w:cstheme="minorBidi"/>
      <w:sz w:val="22"/>
      <w:szCs w:val="22"/>
      <w:lang w:val="en-US" w:eastAsia="en-US" w:bidi="ar-SA"/>
    </w:rPr>
  </w:style>
  <w:style w:type="paragraph" w:styleId="3">
    <w:name w:val="heading 1"/>
    <w:basedOn w:val="1"/>
    <w:next w:val="1"/>
    <w:link w:val="138"/>
    <w:qFormat/>
    <w:uiPriority w:val="9"/>
    <w:pPr>
      <w:keepNext/>
      <w:keepLines/>
      <w:spacing w:before="320" w:after="160" w:line="264"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line="264"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line="264" w:lineRule="auto"/>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1824</Words>
  <Characters>2226</Characters>
  <Lines>0</Lines>
  <Paragraphs>0</Paragraphs>
  <TotalTime>0</TotalTime>
  <ScaleCrop>false</ScaleCrop>
  <LinksUpToDate>false</LinksUpToDate>
  <CharactersWithSpaces>2398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AIFAR</dc:creator>
  <dc:description>generated by python-docx</dc:description>
  <cp:keywords>AIFAR, 阿尔及利亚, 迁移, HA, DNS, MinIO, MySQL</cp:keywords>
  <cp:lastModifiedBy>邓钥心</cp:lastModifiedBy>
  <dcterms:modified xsi:type="dcterms:W3CDTF">2026-07-09T09:26:39Z</dcterms:modified>
  <dc:subject>迁移计划</dc:subject>
  <dc:title>阿尔及利亚项目迁移计划</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eyJoZGlkIjoiZWRhNThkNzc4NTM2MzBkZTA4MTg5MGNiYzFiZDFjYWIiLCJ1c2VySWQiOiI0OTM3NDAwNjAifQ==</vt:lpwstr>
  </property>
  <property fmtid="{D5CDD505-2E9C-101B-9397-08002B2CF9AE}" pid="3" name="KSOProductBuildVer">
    <vt:lpwstr>2052-12.1.0.26895</vt:lpwstr>
  </property>
  <property fmtid="{D5CDD505-2E9C-101B-9397-08002B2CF9AE}" pid="4" name="ICV">
    <vt:lpwstr>661CADA06B254F7E9FBCBA886CF95EBC_12</vt:lpwstr>
  </property>
</Properties>
</file>