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CoverKicker"/>
        <w:jc w:val="center"/>
      </w:pPr>
      <w:r>
        <w:rPr>
          <w:rFonts w:ascii="Arial" w:hAnsi="Arial" w:eastAsia="Microsoft YaHei"/>
          <w:b/>
          <w:color w:val="1677FF"/>
          <w:sz w:val="20"/>
        </w:rPr>
        <w:t>CUSTOMER IT OPERATIONS</w:t>
      </w:r>
    </w:p>
    <w:p>
      <w:pPr>
        <w:pStyle w:val="Title"/>
        <w:jc w:val="center"/>
      </w:pPr>
      <w:r>
        <w:rPr>
          <w:rFonts w:ascii="Arial" w:hAnsi="Arial" w:eastAsia="Microsoft YaHei"/>
          <w:b/>
          <w:color w:val="17365D"/>
          <w:sz w:val="56"/>
        </w:rPr>
        <w:t>AIFAR 客户 IT</w:t>
        <w:br/>
        <w:t>运行监控与故障排查手册</w:t>
      </w:r>
    </w:p>
    <w:p>
      <w:pPr>
        <w:pStyle w:val="Subtitle"/>
        <w:jc w:val="center"/>
      </w:pPr>
      <w:r>
        <w:rPr>
          <w:rFonts w:ascii="Arial" w:hAnsi="Arial" w:eastAsia="Microsoft YaHei"/>
          <w:color w:val="1F4D78"/>
          <w:sz w:val="26"/>
        </w:rPr>
        <w:t>面向客户方 IT 值班与一线故障协调</w:t>
      </w:r>
    </w:p>
    <w:p>
      <w:pPr>
        <w:jc w:val="center"/>
        <w:pBdr>
          <w:bottom w:val="single" w:sz="18" w:space="7" w:color="1677FF"/>
        </w:pBdr>
      </w:pPr>
    </w:p>
    <w:p>
      <w:pPr>
        <w:spacing w:before="520"/>
        <w:jc w:val="center"/>
      </w:pPr>
      <w:r>
        <w:rPr>
          <w:rFonts w:ascii="Arial" w:hAnsi="Arial" w:eastAsia="Microsoft YaHei"/>
          <w:color w:val="667085"/>
          <w:sz w:val="22"/>
        </w:rPr>
        <w:t>适用范围：登录后的只读运行监控与故障排查</w:t>
        <w:br/>
        <w:t>职责边界：状态查看、证据采集、影响判断与升级协同</w:t>
        <w:br/>
        <w:t>版本基线：AIFAR Deployment 0.1.0</w:t>
        <w:br/>
        <w:t>编制日期：2026 年 7 月 27 日</w:t>
      </w:r>
    </w:p>
    <w:p>
      <w:pPr>
        <w:spacing w:before="1280"/>
        <w:jc w:val="center"/>
      </w:pPr>
      <w:r>
        <w:rPr>
          <w:rFonts w:ascii="Arial" w:hAnsi="Arial" w:eastAsia="Microsoft YaHei"/>
          <w:b/>
          <w:color w:val="1F4D78"/>
          <w:sz w:val="21"/>
        </w:rPr>
        <w:t>只读监控 · 事实优先 · 证据完整 · 及时升级</w:t>
      </w:r>
    </w:p>
    <w:p>
      <w:r>
        <w:br w:type="page"/>
      </w:r>
    </w:p>
    <w:p>
      <w:pPr>
        <w:pStyle w:val="Heading1"/>
      </w:pPr>
      <w:r>
        <w:t>一、使用范围与只读边界</w:t>
      </w:r>
    </w:p>
    <w:p>
      <w:pPr>
        <w:pStyle w:val="Heading2"/>
      </w:pPr>
      <w:r>
        <w:t>1.1 文档用途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本手册面向客户方 IT 值班人员、基础设施运维人员和一线故障协调人员，用于登录 AIFAR 后查看运行状况、识别异常、收集证据并完成升级协同。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本手册不承担部署、配置、管理或变更指导。客户 IT 仅使用页面已有状态、任务步骤、目标日志和审计记录进行只读查看；任何变更均由双方约定的授权人员按照正式变更流程执行。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页面中即使出现可改变系统状态的按钮，客户 IT 也不在本手册指导下使用。发现异常后，先保留现场证据，再按升级条件移交。</w:t>
      </w:r>
    </w:p>
    <w:p>
      <w:pPr>
        <w:pStyle w:val="Heading2"/>
      </w:pPr>
      <w:r>
        <w:t>1.2 客户 IT 职责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查看实时连接状态、最近快照时间、提醒数量和核心模块汇总。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识别服务器、Docker/AIFAR Runtime、数据库、Nacos、对象存储和任务异常。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核对异常对象、发生时间、任务步骤、失败目标、错误上下文和审计来源。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判断影响范围、数据是否可能陈旧，以及是否需要升级协同。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对截图、日志片段、对象标识和环境信息进行脱敏后再发送。</w:t>
      </w:r>
    </w:p>
    <w:p>
      <w:pPr>
        <w:pStyle w:val="Heading2"/>
      </w:pPr>
      <w:r>
        <w:t>1.3 职责边界速览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3"/>
        <w:gridCol w:w="4201"/>
        <w:gridCol w:w="2364"/>
      </w:tblGrid>
      <w:tr>
        <w:trPr>
          <w:tblHeader w:val="true"/>
        </w:trPr>
        <w:tc>
          <w:tcPr>
            <w:tcW w:type="dxa" w:w="34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客户 IT 可以做</w:t>
            </w:r>
          </w:p>
        </w:tc>
        <w:tc>
          <w:tcPr>
            <w:tcW w:type="dxa" w:w="42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客户 IT 不在本手册中做</w:t>
            </w:r>
          </w:p>
        </w:tc>
        <w:tc>
          <w:tcPr>
            <w:tcW w:type="dxa" w:w="2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应移交对象</w:t>
            </w:r>
          </w:p>
        </w:tc>
      </w:tr>
      <w:tr>
        <w:tc>
          <w:tcPr>
            <w:tcW w:type="dxa" w:w="3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查看状态、时间、提醒和趋势</w:t>
            </w:r>
          </w:p>
        </w:tc>
        <w:tc>
          <w:tcPr>
            <w:tcW w:type="dxa" w:w="4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改变任务、服务、容器或配置状态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实施方或平台运维</w:t>
            </w:r>
          </w:p>
        </w:tc>
      </w:tr>
      <w:tr>
        <w:tc>
          <w:tcPr>
            <w:tcW w:type="dxa" w:w="341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查看任务步骤、目标和日志</w:t>
            </w:r>
          </w:p>
        </w:tc>
        <w:tc>
          <w:tcPr>
            <w:tcW w:type="dxa" w:w="4201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修改凭据、服务器、策略或面板设置</w:t>
            </w:r>
          </w:p>
        </w:tc>
        <w:tc>
          <w:tcPr>
            <w:tcW w:type="dxa" w:w="236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授权管理员</w:t>
            </w:r>
          </w:p>
        </w:tc>
      </w:tr>
      <w:tr>
        <w:tc>
          <w:tcPr>
            <w:tcW w:type="dxa" w:w="3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查看审计记录并核对操作来源</w:t>
            </w:r>
          </w:p>
        </w:tc>
        <w:tc>
          <w:tcPr>
            <w:tcW w:type="dxa" w:w="4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进行终端操作</w:t>
            </w:r>
          </w:p>
        </w:tc>
        <w:tc>
          <w:tcPr>
            <w:tcW w:type="dxa" w:w="2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基础设施或实施团队</w:t>
            </w:r>
          </w:p>
        </w:tc>
      </w:tr>
      <w:tr>
        <w:tc>
          <w:tcPr>
            <w:tcW w:type="dxa" w:w="341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收集脱敏证据并说明影响范围</w:t>
            </w:r>
          </w:p>
        </w:tc>
        <w:tc>
          <w:tcPr>
            <w:tcW w:type="dxa" w:w="4201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依据单一页面状态直接宣布恢复</w:t>
            </w:r>
          </w:p>
        </w:tc>
        <w:tc>
          <w:tcPr>
            <w:tcW w:type="dxa" w:w="236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事件负责人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1.4 使用原则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先确认数据新鲜度，再判断运行状态。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先确定异常对象，再查任务、步骤、目标和日志。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仪表盘用于发现异常，业务模块用于确认对象，任务中心用于确认过程，日志审计用于确认来源。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控制面记录存在不等于现场业务已经验收；页面显示可用也不能替代实际业务验证。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证据应最小必要、可追溯、已脱敏，并保留准确时间。</w:t>
      </w:r>
    </w:p>
    <w:p>
      <w:pPr>
        <w:pStyle w:val="Heading1"/>
      </w:pPr>
      <w:r>
        <w:t>二、运行监控总览</w:t>
      </w:r>
    </w:p>
    <w:p>
      <w:pPr>
        <w:pStyle w:val="Heading2"/>
      </w:pPr>
      <w:r>
        <w:t>2.1 首屏检查顺序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进入仪表盘后，按以下顺序完成首屏判断：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实时连接：确认页面是否显示实时连接正常，避免在断开状态下依赖陈旧画面。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最近快照：记录最近快照时间，并与当前时间对比。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提醒中心：先看严重级别，再看涉及模块、对象和时间。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汇总卡片：查看服务器、任务、Docker、数据库和对象存储数量及运行中数量。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服务器运行指标：确认 CPU、内存、磁盘、Docker 状态和探测时间是否齐全。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 descr="图 1 仪表盘运行监控总览：先核对实时连接与最近快照，再查看提醒、模块汇总和服务器指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1 仪表盘运行监控总览：先核对实时连接与最近快照，再查看提醒、模块汇总和服务器指标。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截图中的异常用于说明监控入口，不代表交付环境的当前状态。判断现场情况时，应以客户环境当次页面时间和证据为准。</w:t>
      </w:r>
    </w:p>
    <w:p>
      <w:pPr>
        <w:pStyle w:val="Heading2"/>
      </w:pPr>
      <w:r>
        <w:t>2.2 监控对象与证据入口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95"/>
        <w:gridCol w:w="3367"/>
        <w:gridCol w:w="2245"/>
        <w:gridCol w:w="2371"/>
      </w:tblGrid>
      <w:tr>
        <w:trPr>
          <w:tblHeader w:val="true"/>
        </w:trPr>
        <w:tc>
          <w:tcPr>
            <w:tcW w:type="dxa" w:w="19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监控对象</w:t>
            </w:r>
          </w:p>
        </w:tc>
        <w:tc>
          <w:tcPr>
            <w:tcW w:type="dxa" w:w="3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主要查看内容</w:t>
            </w:r>
          </w:p>
        </w:tc>
        <w:tc>
          <w:tcPr>
            <w:tcW w:type="dxa" w:w="22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进一步证据入口</w:t>
            </w:r>
          </w:p>
        </w:tc>
        <w:tc>
          <w:tcPr>
            <w:tcW w:type="dxa" w:w="23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需要关注的异常信号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可用状态、CPU、内存、磁盘、探测时间</w:t>
            </w:r>
          </w:p>
        </w:tc>
        <w:tc>
          <w:tcPr>
            <w:tcW w:type="dxa" w:w="2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服务器详情、相关任务与日志</w:t>
            </w:r>
          </w:p>
        </w:tc>
        <w:tc>
          <w:tcPr>
            <w:tcW w:type="dxa" w:w="2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不可用、未知、指标缺失、探测时间陈旧</w:t>
            </w:r>
          </w:p>
        </w:tc>
      </w:tr>
      <w:tr>
        <w:tc>
          <w:tcPr>
            <w:tcW w:type="dxa" w:w="199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Docker / Runtime</w:t>
            </w:r>
          </w:p>
        </w:tc>
        <w:tc>
          <w:tcPr>
            <w:tcW w:type="dxa" w:w="336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实例状态、运行节点、服务或 Pod 就绪情况、错误摘要</w:t>
            </w:r>
          </w:p>
        </w:tc>
        <w:tc>
          <w:tcPr>
            <w:tcW w:type="dxa" w:w="224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容器页、AIFAR 运行时、任务中心</w:t>
            </w:r>
          </w:p>
        </w:tc>
        <w:tc>
          <w:tcPr>
            <w:tcW w:type="dxa" w:w="2371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不可用、降级、就绪数不足、状态长期不变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引擎、拓扑、节点状态、角色、最近监测时间</w:t>
            </w:r>
          </w:p>
        </w:tc>
        <w:tc>
          <w:tcPr>
            <w:tcW w:type="dxa" w:w="2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数据库实例详情、相关任务日志</w:t>
            </w:r>
          </w:p>
        </w:tc>
        <w:tc>
          <w:tcPr>
            <w:tcW w:type="dxa" w:w="2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节点异常、角色不符合预期、监测时间陈旧</w:t>
            </w:r>
          </w:p>
        </w:tc>
      </w:tr>
      <w:tr>
        <w:tc>
          <w:tcPr>
            <w:tcW w:type="dxa" w:w="199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</w:t>
            </w:r>
          </w:p>
        </w:tc>
        <w:tc>
          <w:tcPr>
            <w:tcW w:type="dxa" w:w="336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实例、拓扑、节点状态、最近监测时间</w:t>
            </w:r>
          </w:p>
        </w:tc>
        <w:tc>
          <w:tcPr>
            <w:tcW w:type="dxa" w:w="224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 实例详情、相关任务日志</w:t>
            </w:r>
          </w:p>
        </w:tc>
        <w:tc>
          <w:tcPr>
            <w:tcW w:type="dxa" w:w="2371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节点不可用、状态未知、监测时间陈旧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对象存储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实例状态、节点与容量摘要、最近监测时间</w:t>
            </w:r>
          </w:p>
        </w:tc>
        <w:tc>
          <w:tcPr>
            <w:tcW w:type="dxa" w:w="2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对象存储实例详情、相关任务日志</w:t>
            </w:r>
          </w:p>
        </w:tc>
        <w:tc>
          <w:tcPr>
            <w:tcW w:type="dxa" w:w="2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实例缺失、容量异常、节点状态异常</w:t>
            </w:r>
          </w:p>
        </w:tc>
      </w:tr>
      <w:tr>
        <w:tc>
          <w:tcPr>
            <w:tcW w:type="dxa" w:w="199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</w:t>
            </w:r>
          </w:p>
        </w:tc>
        <w:tc>
          <w:tcPr>
            <w:tcW w:type="dxa" w:w="336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类型、目标、总体状态、步骤、目标日志</w:t>
            </w:r>
          </w:p>
        </w:tc>
        <w:tc>
          <w:tcPr>
            <w:tcW w:type="dxa" w:w="224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任务中心详情</w:t>
            </w:r>
          </w:p>
        </w:tc>
        <w:tc>
          <w:tcPr>
            <w:tcW w:type="dxa" w:w="2371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失败、长时间无进展、部分目标异常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审计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时间、操作者、模块、动作、目标、状态、详情</w:t>
            </w:r>
          </w:p>
        </w:tc>
        <w:tc>
          <w:tcPr>
            <w:tcW w:type="dxa" w:w="22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日志审计</w:t>
            </w:r>
          </w:p>
        </w:tc>
        <w:tc>
          <w:tcPr>
            <w:tcW w:type="dxa" w:w="2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非预期操作来源、状态与任务不一致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数据新鲜度判断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页面数据应同时结合实时通道状态和最近采集时间理解。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实时连接正常且快照时间持续更新：可以继续核对业务模块状态。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实时连接异常或快照时间明显滞后：只能记录“数据可能陈旧”，不得据此确认正常或恢复。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不同页面的时间不一致：记录各页面时间，并以最接近异常对象的采集时间为主要证据。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页面数量或状态与任务记录不一致：保留两处证据并升级，不自行推断哪一处正确。</w:t>
      </w:r>
    </w:p>
    <w:p>
      <w:pPr>
        <w:pStyle w:val="Heading1"/>
      </w:pPr>
      <w:r>
        <w:t>三、日常巡检</w:t>
      </w:r>
    </w:p>
    <w:p>
      <w:pPr>
        <w:pStyle w:val="Heading2"/>
      </w:pPr>
      <w:r>
        <w:t>3.1 服务器巡检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服务器巡检关注“是否可达、指标是否完整、采集是否及时”，不涉及服务器配置变更。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核对服务器总数与当日值班清单是否一致。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查看每台服务器的状态、CPU、内存、磁盘和 Docker 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记录异常服务器标识、状态、最近探测时间和缺失指标。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判断异常是单台、同一机房多台，还是全部服务器共同出现。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在任务中心查找同一时间窗口内与该服务器有关的任务和失败目标。</w:t>
      </w:r>
    </w:p>
    <w:p>
      <w:pPr>
        <w:pStyle w:val="Heading2"/>
      </w:pPr>
      <w:r>
        <w:t>3.2 Docker 与 AIFAR Runtime 巡检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Docker 与 Runtime 巡检应区分“Docker 运行时不可用”“AIFAR Runtime 实例异常”和“单个服务或 Pod 未就绪”。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 Docker 汇总是否存在、运行节点数量是否符合当前环境基线。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 AIFAR Runtime 实例总体状态和最近采集时间。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核对服务或 Pod 总数、就绪数、异常数以及错误摘要。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对异常服务记录服务名、所属节点、显示状态和首次发现时间。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进入任务中心核对该实例近期任务是否存在失败步骤或失败目标。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“控制面存在实例记录”只说明面板保存了该对象，不等于现场所有容器、服务或业务链路均已通过验收。</w:t>
      </w:r>
    </w:p>
    <w:p>
      <w:pPr>
        <w:pStyle w:val="Heading2"/>
      </w:pPr>
      <w:r>
        <w:t>3.3 数据库巡检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 MySQL、Redis 等已登记实例数量、引擎类型和拓扑类型。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核对节点数量、节点状态、角色和最近监测时间。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关注同一拓扑内是否只有个别节点异常，或所有节点同时异常。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对角色或状态异常，记录实例标识、节点标识、预期角色、当前显示和时间。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若页面状态与近期任务结果不一致，同时保留实例页和任务中心证据。</w:t>
      </w:r>
    </w:p>
    <w:p>
      <w:pPr>
        <w:pStyle w:val="Heading2"/>
      </w:pPr>
      <w:r>
        <w:t>3.4 Nacos 巡检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 Nacos 实例数量、拓扑类型、节点数量和最近监测时间。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核对节点状态是否完整，是否出现未知、不可用或长期未更新。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记录实例标识、异常节点、页面状态、最近监测时间和关联任务。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不进入配置内容进行修改；如配置相关异常由业务方报告，仅记录 Data ID、namespace、group 和发生时间，内容需脱敏。</w:t>
      </w:r>
    </w:p>
    <w:p>
      <w:pPr>
        <w:pStyle w:val="Heading2"/>
      </w:pPr>
      <w:r>
        <w:t>3.5 对象存储巡检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查看已登记 MinIO 实例、节点状态和最近监测时间。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查看容量或运行摘要是否存在异常变化，记录变化发生的时间窗口。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区分实例运行状态与 Bucket、对象、用户等控制面记录；控制面记录不能替代真实存储验证。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若页面为空，先记录“未登记实例”或“数据未返回”，不要直接判断现场存储服务不存在。</w:t>
      </w:r>
    </w:p>
    <w:p>
      <w:pPr>
        <w:pStyle w:val="Heading2"/>
      </w:pPr>
      <w:r>
        <w:t>3.6 任务与审计巡检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查看是否存在失败、长时间无进展或部分目标异常的任务。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核对严重提醒是否能在任务、业务模块或审计中找到对应证据。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查看最近变更来源是否符合当日变更窗口和授权安排。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对无法对应的提醒或审计记录，记录时间、模块、动作、目标和状态后升级。</w:t>
      </w:r>
    </w:p>
    <w:p>
      <w:pPr>
        <w:pStyle w:val="Heading1"/>
      </w:pPr>
      <w:r>
        <w:t>四、状态判断</w:t>
      </w:r>
    </w:p>
    <w:p>
      <w:pPr>
        <w:pStyle w:val="Heading2"/>
      </w:pPr>
      <w:r>
        <w:t>4.1 常见状态含义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9"/>
        <w:gridCol w:w="3290"/>
        <w:gridCol w:w="3290"/>
        <w:gridCol w:w="2039"/>
      </w:tblGrid>
      <w:tr>
        <w:trPr>
          <w:tblHeader w:val="true"/>
        </w:trPr>
        <w:tc>
          <w:tcPr>
            <w:tcW w:type="dxa" w:w="13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3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客户 IT 解释</w:t>
            </w:r>
          </w:p>
        </w:tc>
        <w:tc>
          <w:tcPr>
            <w:tcW w:type="dxa" w:w="3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需要补充的证据</w:t>
            </w:r>
          </w:p>
        </w:tc>
        <w:tc>
          <w:tcPr>
            <w:tcW w:type="dxa" w:w="20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是否可直接确认正常</w:t>
            </w:r>
          </w:p>
        </w:tc>
      </w:tr>
      <w:tr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正常 / 可用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最近采集结果未发现已知异常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最近快照、对象详情、必要的业务验证结果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否，仍需结合时间和业务验证</w:t>
            </w:r>
          </w:p>
        </w:tc>
      </w:tr>
      <w:tr>
        <w:tc>
          <w:tcPr>
            <w:tcW w:type="dxa" w:w="135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运行中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任务或对象正在处理，结果尚未结束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开始时间、当前步骤、目标进度、最新日志时间</w:t>
            </w:r>
          </w:p>
        </w:tc>
        <w:tc>
          <w:tcPr>
            <w:tcW w:type="dxa" w:w="203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  <w:tr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未知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面板缺少足够信息判断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实时连接、最近采集时间、相关任务和日志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  <w:tr>
        <w:tc>
          <w:tcPr>
            <w:tcW w:type="dxa" w:w="135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降级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部分能力或部分节点异常，整体可能仍提供服务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异常节点、就绪比例、影响范围、错误摘要</w:t>
            </w:r>
          </w:p>
        </w:tc>
        <w:tc>
          <w:tcPr>
            <w:tcW w:type="dxa" w:w="203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  <w:tr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异常 / 失败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已检测到错误或任务未完成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首个失败步骤、失败目标、错误上下文、日志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  <w:tr>
        <w:tc>
          <w:tcPr>
            <w:tcW w:type="dxa" w:w="135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不可用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当前采集结果显示对象无法提供预期能力</w:t>
            </w:r>
          </w:p>
        </w:tc>
        <w:tc>
          <w:tcPr>
            <w:tcW w:type="dxa" w:w="329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对象、时间、关联模块、影响范围</w:t>
            </w:r>
          </w:p>
        </w:tc>
        <w:tc>
          <w:tcPr>
            <w:tcW w:type="dxa" w:w="203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  <w:tr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已取消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任务未继续完成，不能当作成功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取消时间、已完成步骤、未完成目标、审计来源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否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避免误判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提醒消失不等于故障已经恢复；应核对对象状态、最近采集时间和业务验证。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任务记录成功不等于业务链路完成验收；应由对应责任方完成业务验证。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页面没有实例可能表示未登记、数据未返回或权限范围不同，不能直接判断现场没有服务。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同一模块多个页面状态不一致时，以“证据冲突”记录并升级，不选择性忽略其中一处。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时间戳比状态颜色更重要；缺少新鲜时间的绿色状态仍可能是陈旧数据。</w:t>
      </w:r>
    </w:p>
    <w:p>
      <w:pPr>
        <w:pStyle w:val="Heading2"/>
      </w:pPr>
      <w:r>
        <w:t>4.3 影响范围分级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2"/>
        <w:gridCol w:w="5573"/>
        <w:gridCol w:w="2703"/>
      </w:tblGrid>
      <w:tr>
        <w:trPr>
          <w:tblHeader w:val="true"/>
        </w:trPr>
        <w:tc>
          <w:tcPr>
            <w:tcW w:type="dxa" w:w="17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影响范围</w:t>
            </w:r>
          </w:p>
        </w:tc>
        <w:tc>
          <w:tcPr>
            <w:tcW w:type="dxa" w:w="55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判断依据</w:t>
            </w:r>
          </w:p>
        </w:tc>
        <w:tc>
          <w:tcPr>
            <w:tcW w:type="dxa" w:w="27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建议记录方式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单对象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仅一个服务器、节点、服务或任务目标异常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明确对象标识和同组正常对象</w:t>
            </w:r>
          </w:p>
        </w:tc>
      </w:tr>
      <w:tr>
        <w:tc>
          <w:tcPr>
            <w:tcW w:type="dxa" w:w="170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单模块</w:t>
            </w:r>
          </w:p>
        </w:tc>
        <w:tc>
          <w:tcPr>
            <w:tcW w:type="dxa" w:w="557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同一模块多个对象异常，其他模块暂未见异常</w:t>
            </w:r>
          </w:p>
        </w:tc>
        <w:tc>
          <w:tcPr>
            <w:tcW w:type="dxa" w:w="270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记录模块、对象数量和共同时间窗口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多模块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服务器、Runtime、数据库、Nacos 或存储同时出现关联异常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建立统一事件编号并汇总时间线</w:t>
            </w:r>
          </w:p>
        </w:tc>
      </w:tr>
      <w:tr>
        <w:tc>
          <w:tcPr>
            <w:tcW w:type="dxa" w:w="170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全局或业务中断</w:t>
            </w:r>
          </w:p>
        </w:tc>
        <w:tc>
          <w:tcPr>
            <w:tcW w:type="dxa" w:w="557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多页面严重提醒，且业务方确认核心链路受影响</w:t>
            </w:r>
          </w:p>
        </w:tc>
        <w:tc>
          <w:tcPr>
            <w:tcW w:type="dxa" w:w="270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立即按高优先级升级并持续补充证据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五、故障排查主线</w:t>
      </w:r>
    </w:p>
    <w:p>
      <w:pPr>
        <w:pStyle w:val="Heading2"/>
      </w:pPr>
      <w:r>
        <w:t>5.1 固定排查顺序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确认异常对象：记录模块、实例、服务器、节点、服务或任务标识。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核对数据时间：记录实时连接、最近快照、最近监测和日志更新时间。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查看关联任务：确认任务类型、目标、开始时间、结束时间和总体状态。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定位首个异常步骤：从步骤列表找到最早失败或长时间无进展的位置。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定位失败目标：查看 target 分组，区分单节点、部分节点或全部目标异常。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阅读错误上下文：保存错误摘要及其前后必要日志，不只截取最后一行。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复核业务页面与审计：确认对象当前显示和同一时间窗口内的操作来源。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排查的终点是形成可复核的事实、影响范围和升级材料，不是在未授权情况下尝试改变系统状态。</w:t>
      </w:r>
    </w:p>
    <w:p>
      <w:pPr>
        <w:pStyle w:val="Heading2"/>
      </w:pPr>
      <w:r>
        <w:t>5.2 任务中心查看重点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任务中心用于把“某个页面异常”还原为“哪个任务、哪个步骤、哪个目标、何时出现了什么错误”。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任务列表：确认任务类型、创建时间、目标模块和总体状态。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任务步骤：找到首个异常步骤，记录步骤名称和状态。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目标分组：查看是否集中在同一服务器或节点。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任务日志：保存错误上下文、最新日志时间和关键关联标识。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页面复核：回到对应业务模块确认当前状态是否仍与任务结果一致。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46798"/>
            <wp:docPr id="2" name="Picture 2" descr="图 2 任务中心证据入口：客户 IT 仅查看任务列表、状态、步骤、目标与日志；页面中的变更控件不属于本手册范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sks.png"/>
                    <pic:cNvPicPr/>
                  </pic:nvPicPr>
                  <pic:blipFill>
                    <a:blip r:embed="rId12"/>
                    <a:srcRect t="1550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6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2 任务中心证据入口：客户 IT 仅查看任务列表、状态、步骤、目标与日志；页面中的变更控件不属于本手册范围。</w:t>
      </w:r>
    </w:p>
    <w:p>
      <w:pPr>
        <w:pStyle w:val="Heading2"/>
      </w:pPr>
      <w:r>
        <w:t>5.3 日志阅读方法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先记录任务标识、目标标识、步骤名称和日志时间范围。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找到第一条明确异常，而不是只复制最后一条汇总信息。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连同异常前后的必要上下文一起保存，避免缺失触发条件。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将重复堆栈或重复输出压缩为“首次出现、最后出现、重复次数或时间范围”。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对账号、地址、连接串、Token、密钥和业务数据进行脱敏。</w:t>
      </w:r>
    </w:p>
    <w:p>
      <w:pPr>
        <w:pStyle w:val="Heading2"/>
      </w:pPr>
      <w:r>
        <w:t>5.4 审计记录核对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日志审计用于回答“谁在何时对哪个对象发起了什么动作，结果如何”。重点查看时间、操作者、模块、动作、目标、Provider、状态和详情。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247"/>
            <wp:docPr id="3" name="Picture 3" descr="图 3 日志审计证据入口：按时间窗口核对操作者、模块、动作、目标和状态，客户 IT 仅查看与取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udit.png"/>
                    <pic:cNvPicPr/>
                  </pic:nvPicPr>
                  <pic:blipFill>
                    <a:blip r:embed="rId13"/>
                    <a:srcRect t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3 日志审计证据入口：按时间窗口核对操作者、模块、动作、目标和状态，客户 IT 仅查看与取证。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审计时间应与提醒、任务和业务页面时间放在同一时间线中比较。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目标标识可用于关联任务和业务对象，但对外发送时应遵循脱敏规则。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如果审计显示成功而任务或业务页面显示异常，应记录为“控制面结果与运行状态不一致”。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如果找不到对应审计记录，记录查询条件、时间窗口和页面结果后升级。</w:t>
      </w:r>
    </w:p>
    <w:p>
      <w:pPr>
        <w:pStyle w:val="Heading1"/>
      </w:pPr>
      <w:r>
        <w:t>六、常见故障场景</w:t>
      </w:r>
    </w:p>
    <w:p>
      <w:pPr>
        <w:pStyle w:val="Heading2"/>
      </w:pPr>
      <w:r>
        <w:t>6.1 页面状态不更新或数据可能陈旧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7"/>
        <w:gridCol w:w="5124"/>
        <w:gridCol w:w="2967"/>
      </w:tblGrid>
      <w:tr>
        <w:trPr>
          <w:tblHeader w:val="true"/>
        </w:trPr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检查项</w:t>
            </w:r>
          </w:p>
        </w:tc>
        <w:tc>
          <w:tcPr>
            <w:tcW w:type="dxa" w:w="51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只读判断</w:t>
            </w:r>
          </w:p>
        </w:tc>
        <w:tc>
          <w:tcPr>
            <w:tcW w:type="dxa" w:w="29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需要保留的证据</w:t>
            </w:r>
          </w:p>
        </w:tc>
      </w:tr>
      <w:tr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实时连接</w:t>
            </w:r>
          </w:p>
        </w:tc>
        <w:tc>
          <w:tcPr>
            <w:tcW w:type="dxa" w:w="5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是否显示已连接，状态是否发生变化</w:t>
            </w:r>
          </w:p>
        </w:tc>
        <w:tc>
          <w:tcPr>
            <w:tcW w:type="dxa" w:w="29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顶部连接状态截图和时间</w:t>
            </w:r>
          </w:p>
        </w:tc>
      </w:tr>
      <w:tr>
        <w:tc>
          <w:tcPr>
            <w:tcW w:type="dxa" w:w="188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最近快照</w:t>
            </w:r>
          </w:p>
        </w:tc>
        <w:tc>
          <w:tcPr>
            <w:tcW w:type="dxa" w:w="512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是否明显落后于当前时间或长期不变</w:t>
            </w:r>
          </w:p>
        </w:tc>
        <w:tc>
          <w:tcPr>
            <w:tcW w:type="dxa" w:w="296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当前时间与快照时间</w:t>
            </w:r>
          </w:p>
        </w:tc>
      </w:tr>
      <w:tr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多页面对比</w:t>
            </w:r>
          </w:p>
        </w:tc>
        <w:tc>
          <w:tcPr>
            <w:tcW w:type="dxa" w:w="5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仪表盘、业务模块和任务中心是否同时滞后</w:t>
            </w:r>
          </w:p>
        </w:tc>
        <w:tc>
          <w:tcPr>
            <w:tcW w:type="dxa" w:w="29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各页面时间戳</w:t>
            </w:r>
          </w:p>
        </w:tc>
      </w:tr>
      <w:tr>
        <w:tc>
          <w:tcPr>
            <w:tcW w:type="dxa" w:w="188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影响范围</w:t>
            </w:r>
          </w:p>
        </w:tc>
        <w:tc>
          <w:tcPr>
            <w:tcW w:type="dxa" w:w="512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单个浏览器、单个用户还是多人一致</w:t>
            </w:r>
          </w:p>
        </w:tc>
        <w:tc>
          <w:tcPr>
            <w:tcW w:type="dxa" w:w="296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用户范围和复现时间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结论应写为“当前页面数据可能陈旧，尚不能确认对象真实状态”，并升级给平台运维或实施方核实采集链路。</w:t>
      </w:r>
    </w:p>
    <w:p>
      <w:pPr>
        <w:pStyle w:val="Heading2"/>
      </w:pPr>
      <w:r>
        <w:t>6.2 服务器显示未知或不可用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记录服务器标识、显示状态、最近探测时间和缺失指标。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对比同一时间窗口内其他服务器是否正常。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在任务中心查看与该服务器有关的任务、步骤和目标日志。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记录是否同时伴随 Docker、Runtime 或多个模块提醒。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若多台服务器同时异常，按多模块或全局影响升级给基础设施团队和实施方。</w:t>
      </w:r>
    </w:p>
    <w:p>
      <w:pPr>
        <w:pStyle w:val="Heading2"/>
      </w:pPr>
      <w:r>
        <w:t>6.3 Docker 或 AIFAR Runtime 异常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区分 Docker 汇总不可用、Runtime 实例异常、部分服务或 Pod 未就绪。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记录实例、节点、服务或 Pod、总数与就绪数、错误摘要和时间。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核对同一实例近期任务是否失败，以及失败是否集中在某个 target。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对比服务器页是否同时出现 Docker 状态或资源指标异常。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将 Runtime 页面、任务步骤、目标日志和服务器状态作为同一事件证据提交。</w:t>
      </w:r>
    </w:p>
    <w:p>
      <w:pPr>
        <w:pStyle w:val="Heading2"/>
      </w:pPr>
      <w:r>
        <w:t>6.4 数据库、Nacos 或对象存储异常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记录模块、实例、拓扑、异常节点、当前状态和最近监测时间。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对比同一拓扑内正常节点，明确是单节点还是整体异常。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查看是否有同一时间窗口内的关联任务和审计记录。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对象存储应区分实例状态和控制面记录，避免将记录存在误认为存储可用。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不复制完整连接信息或配置正文；仅保留脱敏后的对象标识和错误摘要。</w:t>
      </w:r>
    </w:p>
    <w:p>
      <w:pPr>
        <w:pStyle w:val="Heading2"/>
      </w:pPr>
      <w:r>
        <w:t>6.5 任务失败或长时间无进展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记录任务类型、任务标识、目标、开始时间、当前状态和最新日志时间。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找到首个异常步骤和失败 target，说明其余目标是否正常。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保存错误上下文及前后必要日志，避免只提交一句失败摘要。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回到业务模块记录当前对象状态，确认任务失败是否已影响运行状态。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同类任务连续失败或多个目标共同失败时，提升升级优先级。</w:t>
      </w:r>
    </w:p>
    <w:p>
      <w:pPr>
        <w:pStyle w:val="Heading2"/>
      </w:pPr>
      <w:r>
        <w:t>6.6 终端页面无法建立连接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记录服务器选择项、页面提示、发生时间和是否仅影响单台服务器。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查看同一服务器在服务器页的状态、最近探测时间和关联任务。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对比其他已授权用户是否出现相同现象，记录用户范围。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不在本手册指导下尝试任何终端操作；连接问题移交基础设施或实施团队。</w:t>
      </w:r>
    </w:p>
    <w:p>
      <w:pPr>
        <w:pStyle w:val="Heading1"/>
      </w:pPr>
      <w:r>
        <w:t>七、证据收集与升级协同</w:t>
      </w:r>
    </w:p>
    <w:p>
      <w:pPr>
        <w:pStyle w:val="Heading2"/>
      </w:pPr>
      <w:r>
        <w:t>7.1 最小证据包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6"/>
        <w:gridCol w:w="4998"/>
        <w:gridCol w:w="3274"/>
      </w:tblGrid>
      <w:tr>
        <w:trPr>
          <w:tblHeader w:val="true"/>
        </w:trPr>
        <w:tc>
          <w:tcPr>
            <w:tcW w:type="dxa" w:w="17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49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必备内容</w:t>
            </w:r>
          </w:p>
        </w:tc>
        <w:tc>
          <w:tcPr>
            <w:tcW w:type="dxa" w:w="32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脱敏要求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事件信息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发现时间、持续时间、报告人、环境、事件编号</w:t>
            </w:r>
          </w:p>
        </w:tc>
        <w:tc>
          <w:tcPr>
            <w:tcW w:type="dxa" w:w="3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不包含个人敏感信息</w:t>
            </w:r>
          </w:p>
        </w:tc>
      </w:tr>
      <w:tr>
        <w:tc>
          <w:tcPr>
            <w:tcW w:type="dxa" w:w="170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业务影响</w:t>
            </w:r>
          </w:p>
        </w:tc>
        <w:tc>
          <w:tcPr>
            <w:tcW w:type="dxa" w:w="499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受影响功能、用户范围、是否持续、业务方现象</w:t>
            </w:r>
          </w:p>
        </w:tc>
        <w:tc>
          <w:tcPr>
            <w:tcW w:type="dxa" w:w="32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不附生产业务数据正文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页面状态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实时连接、最近快照、模块、对象、状态、提醒</w:t>
            </w:r>
          </w:p>
        </w:tc>
        <w:tc>
          <w:tcPr>
            <w:tcW w:type="dxa" w:w="3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地址保留网段或尾段掩码</w:t>
            </w:r>
          </w:p>
        </w:tc>
      </w:tr>
      <w:tr>
        <w:tc>
          <w:tcPr>
            <w:tcW w:type="dxa" w:w="170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任务证据</w:t>
            </w:r>
          </w:p>
        </w:tc>
        <w:tc>
          <w:tcPr>
            <w:tcW w:type="dxa" w:w="499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任务类型、任务标识、状态、首个异常步骤、失败 target</w:t>
            </w:r>
          </w:p>
        </w:tc>
        <w:tc>
          <w:tcPr>
            <w:tcW w:type="dxa" w:w="32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标识按双方约定脱敏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日志证据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时间范围、错误摘要、必要上下文、最后更新时间</w:t>
            </w:r>
          </w:p>
        </w:tc>
        <w:tc>
          <w:tcPr>
            <w:tcW w:type="dxa" w:w="3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移除密码、Token、密钥和完整连接串</w:t>
            </w:r>
          </w:p>
        </w:tc>
      </w:tr>
      <w:tr>
        <w:tc>
          <w:tcPr>
            <w:tcW w:type="dxa" w:w="170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审计证据</w:t>
            </w:r>
          </w:p>
        </w:tc>
        <w:tc>
          <w:tcPr>
            <w:tcW w:type="dxa" w:w="499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时间、操作者、模块、动作、目标、状态</w:t>
            </w:r>
          </w:p>
        </w:tc>
        <w:tc>
          <w:tcPr>
            <w:tcW w:type="dxa" w:w="32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操作者和目标按最小必要提供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对比信息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同组正常对象、前后时间点、其他页面状态</w:t>
            </w:r>
          </w:p>
        </w:tc>
        <w:tc>
          <w:tcPr>
            <w:tcW w:type="dxa" w:w="3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不扩大披露范围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升级条件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严重提醒涉及多个服务器、多个节点或多个模块。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AIFAR Runtime、数据库、Nacos 或对象存储显示不可用或持续降级。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页面数据超过双方约定的新鲜度门限，无法可靠判断现场状态。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同类任务连续失败、多个 target 共同失败，或日志长期无新进展。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控制面状态、任务结果、审计记录和业务现象之间存在明显冲突。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业务方确认核心链路中断、数据一致性风险或安全风险。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排查继续进行将需要任何变更权限、配置内容或终端操作。</w:t>
      </w:r>
    </w:p>
    <w:p>
      <w:pPr>
        <w:pStyle w:val="Heading2"/>
      </w:pPr>
      <w:r>
        <w:t>7.3 升级对象建议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8"/>
        <w:gridCol w:w="2635"/>
        <w:gridCol w:w="2825"/>
      </w:tblGrid>
      <w:tr>
        <w:trPr>
          <w:tblHeader w:val="true"/>
        </w:trPr>
        <w:tc>
          <w:tcPr>
            <w:tcW w:type="dxa" w:w="45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现象</w:t>
            </w:r>
          </w:p>
        </w:tc>
        <w:tc>
          <w:tcPr>
            <w:tcW w:type="dxa" w:w="26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首要升级对象</w:t>
            </w:r>
          </w:p>
        </w:tc>
        <w:tc>
          <w:tcPr>
            <w:tcW w:type="dxa" w:w="28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同时知会</w:t>
            </w:r>
          </w:p>
        </w:tc>
      </w:tr>
      <w:tr>
        <w:tc>
          <w:tcPr>
            <w:tcW w:type="dxa" w:w="4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多台服务器不可用、资源指标共同异常</w:t>
            </w:r>
          </w:p>
        </w:tc>
        <w:tc>
          <w:tcPr>
            <w:tcW w:type="dxa" w:w="2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客户基础设施团队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AIFAR 实施方</w:t>
            </w:r>
          </w:p>
        </w:tc>
      </w:tr>
      <w:tr>
        <w:tc>
          <w:tcPr>
            <w:tcW w:type="dxa" w:w="451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Docker、Runtime、任务或采集链路异常</w:t>
            </w:r>
          </w:p>
        </w:tc>
        <w:tc>
          <w:tcPr>
            <w:tcW w:type="dxa" w:w="263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AIFAR 实施方或平台运维</w:t>
            </w:r>
          </w:p>
        </w:tc>
        <w:tc>
          <w:tcPr>
            <w:tcW w:type="dxa" w:w="282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客户事件负责人</w:t>
            </w:r>
          </w:p>
        </w:tc>
      </w:tr>
      <w:tr>
        <w:tc>
          <w:tcPr>
            <w:tcW w:type="dxa" w:w="4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数据库、Nacos、对象存储节点或拓扑异常</w:t>
            </w:r>
          </w:p>
        </w:tc>
        <w:tc>
          <w:tcPr>
            <w:tcW w:type="dxa" w:w="2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对应组件责任方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AIFAR 实施方</w:t>
            </w:r>
          </w:p>
        </w:tc>
      </w:tr>
      <w:tr>
        <w:tc>
          <w:tcPr>
            <w:tcW w:type="dxa" w:w="451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非预期审计来源或安全风险</w:t>
            </w:r>
          </w:p>
        </w:tc>
        <w:tc>
          <w:tcPr>
            <w:tcW w:type="dxa" w:w="263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客户安全与授权管理员</w:t>
            </w:r>
          </w:p>
        </w:tc>
        <w:tc>
          <w:tcPr>
            <w:tcW w:type="dxa" w:w="2825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事件负责人、AIFAR 实施方</w:t>
            </w:r>
          </w:p>
        </w:tc>
      </w:tr>
      <w:tr>
        <w:tc>
          <w:tcPr>
            <w:tcW w:type="dxa" w:w="4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业务链路中断且多模块告警</w:t>
            </w:r>
          </w:p>
        </w:tc>
        <w:tc>
          <w:tcPr>
            <w:tcW w:type="dxa" w:w="2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客户事件负责人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所有相关组件责任方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7.4 升级信息模板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事件编号：[填写]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发现时间与时区：[填写]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环境与影响范围：[填写]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当前业务现象：[填写]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页面实时连接与最近快照：[填写]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异常模块和对象：[填写]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任务、首个异常步骤与失败 target：[填写]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错误摘要和日志时间范围：[填写]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关联审计记录：[填写]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已附脱敏证据：[截图、日志片段、时间线]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请求协助事项：[需要责任方确认的问题]</w:t>
      </w:r>
    </w:p>
    <w:p>
      <w:pPr>
        <w:pStyle w:val="Heading1"/>
      </w:pPr>
      <w:r>
        <w:t>八、巡检与事件记录模板</w:t>
      </w:r>
    </w:p>
    <w:p>
      <w:pPr>
        <w:pStyle w:val="Heading2"/>
      </w:pPr>
      <w:r>
        <w:t>8.1 每日巡检表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96"/>
        <w:gridCol w:w="3184"/>
        <w:gridCol w:w="1910"/>
        <w:gridCol w:w="1488"/>
      </w:tblGrid>
      <w:tr>
        <w:trPr>
          <w:tblHeader w:val="true"/>
        </w:trPr>
        <w:tc>
          <w:tcPr>
            <w:tcW w:type="dxa" w:w="33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巡检项</w:t>
            </w:r>
          </w:p>
        </w:tc>
        <w:tc>
          <w:tcPr>
            <w:tcW w:type="dxa" w:w="3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正常判断参考</w:t>
            </w:r>
          </w:p>
        </w:tc>
        <w:tc>
          <w:tcPr>
            <w:tcW w:type="dxa" w:w="1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本次结果</w:t>
            </w:r>
          </w:p>
        </w:tc>
        <w:tc>
          <w:tcPr>
            <w:tcW w:type="dxa" w:w="1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证据或备注</w:t>
            </w:r>
          </w:p>
        </w:tc>
      </w:tr>
      <w:tr>
        <w:tc>
          <w:tcPr>
            <w:tcW w:type="dxa" w:w="3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实时连接与最近快照</w:t>
            </w:r>
          </w:p>
        </w:tc>
        <w:tc>
          <w:tcPr>
            <w:tcW w:type="dxa" w:w="3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已连接，时间持续更新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严重提醒</w:t>
            </w:r>
          </w:p>
        </w:tc>
        <w:tc>
          <w:tcPr>
            <w:tcW w:type="dxa" w:w="318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无未解释的严重提醒</w:t>
            </w:r>
          </w:p>
        </w:tc>
        <w:tc>
          <w:tcPr>
            <w:tcW w:type="dxa" w:w="1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</w:t>
            </w:r>
          </w:p>
        </w:tc>
        <w:tc>
          <w:tcPr>
            <w:tcW w:type="dxa" w:w="3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状态与指标完整，探测时间新鲜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Docker / Runtime</w:t>
            </w:r>
          </w:p>
        </w:tc>
        <w:tc>
          <w:tcPr>
            <w:tcW w:type="dxa" w:w="318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实例和就绪情况符合环境基线</w:t>
            </w:r>
          </w:p>
        </w:tc>
        <w:tc>
          <w:tcPr>
            <w:tcW w:type="dxa" w:w="1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</w:t>
            </w:r>
          </w:p>
        </w:tc>
        <w:tc>
          <w:tcPr>
            <w:tcW w:type="dxa" w:w="3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节点、角色和监测时间符合基线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</w:t>
            </w:r>
          </w:p>
        </w:tc>
        <w:tc>
          <w:tcPr>
            <w:tcW w:type="dxa" w:w="318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实例、节点和监测时间符合基线</w:t>
            </w:r>
          </w:p>
        </w:tc>
        <w:tc>
          <w:tcPr>
            <w:tcW w:type="dxa" w:w="1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对象存储</w:t>
            </w:r>
          </w:p>
        </w:tc>
        <w:tc>
          <w:tcPr>
            <w:tcW w:type="dxa" w:w="3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实例、节点和容量摘要无异常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任务中心</w:t>
            </w:r>
          </w:p>
        </w:tc>
        <w:tc>
          <w:tcPr>
            <w:tcW w:type="dxa" w:w="318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无未解释的失败或长期无进展任务</w:t>
            </w:r>
          </w:p>
        </w:tc>
        <w:tc>
          <w:tcPr>
            <w:tcW w:type="dxa" w:w="1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  <w:tr>
        <w:tc>
          <w:tcPr>
            <w:tcW w:type="dxa" w:w="3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日志审计</w:t>
            </w:r>
          </w:p>
        </w:tc>
        <w:tc>
          <w:tcPr>
            <w:tcW w:type="dxa" w:w="3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最近操作来源符合授权与窗口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□ 正常 □ 异常</w:t>
            </w:r>
          </w:p>
        </w:tc>
        <w:tc>
          <w:tcPr>
            <w:tcW w:type="dxa" w:w="1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事件时间线记录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7"/>
        <w:gridCol w:w="3174"/>
        <w:gridCol w:w="1587"/>
        <w:gridCol w:w="1587"/>
        <w:gridCol w:w="2043"/>
      </w:tblGrid>
      <w:tr>
        <w:trPr>
          <w:tblHeader w:val="true"/>
        </w:trPr>
        <w:tc>
          <w:tcPr>
            <w:tcW w:type="dxa" w:w="1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时间</w:t>
            </w:r>
          </w:p>
        </w:tc>
        <w:tc>
          <w:tcPr>
            <w:tcW w:type="dxa" w:w="31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页面或来源</w:t>
            </w:r>
          </w:p>
        </w:tc>
        <w:tc>
          <w:tcPr>
            <w:tcW w:type="dxa" w:w="1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对象</w:t>
            </w:r>
          </w:p>
        </w:tc>
        <w:tc>
          <w:tcPr>
            <w:tcW w:type="dxa" w:w="1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观察到的事实</w:t>
            </w:r>
          </w:p>
        </w:tc>
        <w:tc>
          <w:tcPr>
            <w:tcW w:type="dxa" w:w="20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证据编号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[时分秒]</w:t>
            </w:r>
          </w:p>
        </w:tc>
        <w:tc>
          <w:tcPr>
            <w:tcW w:type="dxa" w:w="31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[仪表盘/模块/任务/审计]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[脱敏标识]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[仅写事实]</w:t>
            </w:r>
          </w:p>
        </w:tc>
        <w:tc>
          <w:tcPr>
            <w:tcW w:type="dxa" w:w="20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[截图或日志编号]</w:t>
            </w:r>
          </w:p>
        </w:tc>
      </w:tr>
      <w:tr>
        <w:tc>
          <w:tcPr>
            <w:tcW w:type="dxa" w:w="158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[时分秒]</w:t>
            </w:r>
          </w:p>
        </w:tc>
        <w:tc>
          <w:tcPr>
            <w:tcW w:type="dxa" w:w="31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158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158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204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[时分秒]</w:t>
            </w:r>
          </w:p>
        </w:tc>
        <w:tc>
          <w:tcPr>
            <w:tcW w:type="dxa" w:w="31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  <w:tc>
          <w:tcPr>
            <w:tcW w:type="dxa" w:w="20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8.3 菜单与用途速查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4249"/>
        <w:gridCol w:w="3143"/>
      </w:tblGrid>
      <w:tr>
        <w:trPr>
          <w:tblHeader w:val="true"/>
        </w:trPr>
        <w:tc>
          <w:tcPr>
            <w:tcW w:type="dxa" w:w="25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菜单</w:t>
            </w:r>
          </w:p>
        </w:tc>
        <w:tc>
          <w:tcPr>
            <w:tcW w:type="dxa" w:w="42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客户 IT 只读用途</w:t>
            </w:r>
          </w:p>
        </w:tc>
        <w:tc>
          <w:tcPr>
            <w:tcW w:type="dxa" w:w="31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常用证据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仪表盘</w:t>
            </w:r>
          </w:p>
        </w:tc>
        <w:tc>
          <w:tcPr>
            <w:tcW w:type="dxa" w:w="4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发现异常并判断数据新鲜度</w:t>
            </w:r>
          </w:p>
        </w:tc>
        <w:tc>
          <w:tcPr>
            <w:tcW w:type="dxa" w:w="3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实时连接、快照、提醒、汇总、指标</w:t>
            </w:r>
          </w:p>
        </w:tc>
      </w:tr>
      <w:tr>
        <w:tc>
          <w:tcPr>
            <w:tcW w:type="dxa" w:w="258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</w:t>
            </w:r>
          </w:p>
        </w:tc>
        <w:tc>
          <w:tcPr>
            <w:tcW w:type="dxa" w:w="424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确认异常服务器和资源指标</w:t>
            </w:r>
          </w:p>
        </w:tc>
        <w:tc>
          <w:tcPr>
            <w:tcW w:type="dxa" w:w="314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状态、CPU、内存、磁盘、探测时间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 / AIFAR 运行时</w:t>
            </w:r>
          </w:p>
        </w:tc>
        <w:tc>
          <w:tcPr>
            <w:tcW w:type="dxa" w:w="4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确认 Docker、实例、服务或 Pod 状态</w:t>
            </w:r>
          </w:p>
        </w:tc>
        <w:tc>
          <w:tcPr>
            <w:tcW w:type="dxa" w:w="3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总数、就绪数、节点、错误摘要</w:t>
            </w:r>
          </w:p>
        </w:tc>
      </w:tr>
      <w:tr>
        <w:tc>
          <w:tcPr>
            <w:tcW w:type="dxa" w:w="258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</w:t>
            </w:r>
          </w:p>
        </w:tc>
        <w:tc>
          <w:tcPr>
            <w:tcW w:type="dxa" w:w="424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确认实例、拓扑、节点和角色</w:t>
            </w:r>
          </w:p>
        </w:tc>
        <w:tc>
          <w:tcPr>
            <w:tcW w:type="dxa" w:w="314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状态、角色、最近监测时间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</w:t>
            </w:r>
          </w:p>
        </w:tc>
        <w:tc>
          <w:tcPr>
            <w:tcW w:type="dxa" w:w="4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确认实例和节点状态</w:t>
            </w:r>
          </w:p>
        </w:tc>
        <w:tc>
          <w:tcPr>
            <w:tcW w:type="dxa" w:w="3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拓扑、节点、最近监测时间</w:t>
            </w:r>
          </w:p>
        </w:tc>
      </w:tr>
      <w:tr>
        <w:tc>
          <w:tcPr>
            <w:tcW w:type="dxa" w:w="258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对象存储</w:t>
            </w:r>
          </w:p>
        </w:tc>
        <w:tc>
          <w:tcPr>
            <w:tcW w:type="dxa" w:w="424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确认 MinIO 实例和运行摘要</w:t>
            </w:r>
          </w:p>
        </w:tc>
        <w:tc>
          <w:tcPr>
            <w:tcW w:type="dxa" w:w="314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实例、节点、容量、监测时间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任务中心</w:t>
            </w:r>
          </w:p>
        </w:tc>
        <w:tc>
          <w:tcPr>
            <w:tcW w:type="dxa" w:w="4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定位任务过程中的异常点</w:t>
            </w:r>
          </w:p>
        </w:tc>
        <w:tc>
          <w:tcPr>
            <w:tcW w:type="dxa" w:w="3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任务、步骤、target、日志</w:t>
            </w:r>
          </w:p>
        </w:tc>
      </w:tr>
      <w:tr>
        <w:tc>
          <w:tcPr>
            <w:tcW w:type="dxa" w:w="258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日志审计</w:t>
            </w:r>
          </w:p>
        </w:tc>
        <w:tc>
          <w:tcPr>
            <w:tcW w:type="dxa" w:w="4249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核对操作来源和结果</w:t>
            </w:r>
          </w:p>
        </w:tc>
        <w:tc>
          <w:tcPr>
            <w:tcW w:type="dxa" w:w="3143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时间、操作者、动作、目标、状态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8.4 交班前确认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已记录仍未关闭的提醒、异常对象和最新状态时间。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已为每个未解决事件补充任务、日志或审计证据。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已说明数据是否新鲜，以及哪些结论仍待责任方确认。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已对所有外发截图和日志完成脱敏。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已明确下一责任方、升级时间和等待中的反馈事项。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本手册的完成标准是“监控事实清楚、证据链完整、影响范围明确、升级对象正确”。系统状态变更和恢复验收由授权责任方完成。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Microsoft YaHei"/>
        <w:color w:val="667085"/>
        <w:sz w:val="17"/>
      </w:rPr>
      <w:t xml:space="preserve">版本基线 2026-07-27  |  第 </w:t>
    </w:r>
    <w:r>
      <w:rPr>
        <w:rFonts w:ascii="Arial" w:hAnsi="Arial" w:eastAsia="Microsoft YaHei"/>
        <w:color w:val="667085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7" w:color="D9E1EA"/>
      </w:pBdr>
    </w:pPr>
    <w:r/>
    <w:r>
      <w:rPr>
        <w:rFonts w:ascii="Arial" w:hAnsi="Arial" w:eastAsia="Microsoft YaHei"/>
        <w:b/>
        <w:color w:val="667085"/>
        <w:sz w:val="17"/>
      </w:rPr>
      <w:t>AIFAR 客户 IT 运行监控与故障排查手册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b w:val="0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4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 w:val="0"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240"/>
      <w:jc w:val="center"/>
    </w:pPr>
    <w:rPr>
      <w:rFonts w:ascii="Arial" w:hAnsi="Arial" w:eastAsia="Microsoft YaHei"/>
      <w:b/>
      <w:color w:val="1677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AIFAR 客户 IT 运行监控与故障排查手册</dc:title>
  <dc:subject>客户方 IT 只读运行监控、故障排查、证据采集与升级协同</dc:subject>
  <dc:creator>AIFAR</dc:creator>
  <cp:keywords>AIFAR, 客户IT, 运行监控, 故障排查, 证据采集</cp:keywords>
  <dc:description>generated by python-docx</dc:description>
  <cp:lastModifiedBy>AIFAR</cp:lastModifiedBy>
  <cp:revision>1</cp:revision>
  <dcterms:created xsi:type="dcterms:W3CDTF">2013-12-23T23:15:00Z</dcterms:created>
  <dcterms:modified xsi:type="dcterms:W3CDTF">2013-12-23T23:15:00Z</dcterms:modified>
  <cp:category/>
</cp:coreProperties>
</file>