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CoverKicker"/>
      </w:pPr>
      <w:r>
        <w:t>AIFAR OPERATOR ENABLEMENT</w:t>
      </w:r>
    </w:p>
    <w:p>
      <w:pPr>
        <w:pStyle w:val="Title"/>
        <w:jc w:val="center"/>
      </w:pPr>
      <w:r>
        <w:t>AIFAR 登录后功能培训手册</w:t>
      </w:r>
    </w:p>
    <w:p>
      <w:pPr>
        <w:pStyle w:val="Subtitle"/>
        <w:jc w:val="center"/>
      </w:pPr>
      <w:r>
        <w:t>面向日常操作员与实施运维工程师</w:t>
      </w:r>
    </w:p>
    <w:p>
      <w:pPr>
        <w:jc w:val="center"/>
        <w:pBdr>
          <w:bottom w:val="single" w:sz="18" w:space="7" w:color="1677FF"/>
        </w:pBdr>
      </w:pPr>
    </w:p>
    <w:p>
      <w:pPr>
        <w:spacing w:before="520"/>
        <w:jc w:val="center"/>
      </w:pPr>
      <w:r>
        <w:rPr>
          <w:rFonts w:ascii="Arial" w:hAnsi="Arial" w:eastAsia="Microsoft YaHei"/>
          <w:color w:val="667085"/>
          <w:sz w:val="22"/>
        </w:rPr>
        <w:t>适用范围：登录后的产品功能</w:t>
        <w:br/>
        <w:t>版本基线：AIFAR Deployment 0.1.0</w:t>
        <w:br/>
        <w:t>编制日期：2026 年 7 月 27 日</w:t>
      </w:r>
    </w:p>
    <w:p>
      <w:pPr>
        <w:spacing w:before="1600"/>
        <w:jc w:val="center"/>
      </w:pPr>
      <w:r>
        <w:rPr>
          <w:rFonts w:ascii="Arial" w:hAnsi="Arial" w:eastAsia="Microsoft YaHei"/>
          <w:b/>
          <w:color w:val="1F4D78"/>
          <w:sz w:val="21"/>
        </w:rPr>
        <w:t>任务场景式 · 图文操作 · 风险边界 · 培训验收</w:t>
      </w:r>
    </w:p>
    <w:p>
      <w:r>
        <w:br w:type="page"/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面向日常操作员与实施运维工程师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适用范围：登录后的产品功能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版本基线：AIFAR Deployment 0.1.0（当前分支，2026-07-27）</w:t>
      </w:r>
    </w:p>
    <w:p>
      <w:pPr>
        <w:pStyle w:val="Heading2"/>
      </w:pPr>
      <w:r>
        <w:t>手册说明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本手册用于培训已经获得 AIFAR 面板账号的使用人员。内容从登录后的界面开始，讲解如何接入和探测服务器、部署应用、查看运行状态、跟踪任务，以及如何在故障发生时找到正确的日志和证据。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本手册不包含 AIFAR 面板本身的安装、启动、升级、备份、恢复、源码开发、构建和发布流程。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阅读建议：日常操作员先学习第 1 至第 4 章和第 8 章；实施运维工程师在此基础上继续学习第 5 至第 7 章及附录。</w:t>
      </w:r>
    </w:p>
    <w:p>
      <w:pPr>
        <w:pStyle w:val="Heading2"/>
      </w:pPr>
      <w:r>
        <w:t>目录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培训目标与安全原则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登录后的界面与权限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日常操作主线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功能模块详解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常见运维场景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高风险操作与能力边界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常见问题与故障定位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培训练习与验收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菜单、状态与权限速查</w:t>
      </w:r>
    </w:p>
    <w:p>
      <w:pPr>
        <w:pStyle w:val="Heading1"/>
      </w:pPr>
      <w:r>
        <w:t>1 培训目标与安全原则</w:t>
      </w:r>
    </w:p>
    <w:p>
      <w:pPr>
        <w:pStyle w:val="Heading2"/>
      </w:pPr>
      <w:r>
        <w:t>1.1 培训目标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完成培训后，学员应能够：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识别左侧导航、全局实时状态、提醒和任务进度区域。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在服务器工作台新增服务器并发起探测任务。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从应用商店选择版本、目标服务器和拓扑，提交部署任务。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在任务中心判断任务是否真正完成，并定位失败的步骤和目标。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查看容器、Runtime、数据库、Nacos 和对象存储的控制面状态。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区分停止任务、服务下线、容器重启和 Runtime 全部重启的不同含义。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在权限允许时使用凭据中心和 SSH 终端，并遵守敏感信息保护要求。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对删除、卸载、回滚、下线和清理操作执行二次核对。</w:t>
      </w:r>
    </w:p>
    <w:p>
      <w:pPr>
        <w:pStyle w:val="Heading2"/>
      </w:pPr>
      <w:r>
        <w:t>1.2 角色分工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98"/>
        <w:gridCol w:w="3642"/>
        <w:gridCol w:w="4638"/>
      </w:tblGrid>
      <w:tr>
        <w:tc>
          <w:tcPr>
            <w:tcW w:type="dxa" w:w="16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角色</w:t>
            </w:r>
          </w:p>
        </w:tc>
        <w:tc>
          <w:tcPr>
            <w:tcW w:type="dxa" w:w="36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主要职责</w:t>
            </w:r>
          </w:p>
        </w:tc>
        <w:tc>
          <w:tcPr>
            <w:tcW w:type="dxa" w:w="4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建议掌握范围</w:t>
            </w:r>
          </w:p>
        </w:tc>
      </w:tr>
      <w:tr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日常操作员</w:t>
            </w:r>
          </w:p>
        </w:tc>
        <w:tc>
          <w:tcPr>
            <w:tcW w:type="dxa" w:w="3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日常查看、提交标准任务、跟踪结果、发现异常</w:t>
            </w:r>
          </w:p>
        </w:tc>
        <w:tc>
          <w:tcPr>
            <w:tcW w:type="dxa" w:w="4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仪表盘、服务器查看、应用部署、任务中心、常规日志</w:t>
            </w:r>
          </w:p>
        </w:tc>
      </w:tr>
      <w:tr>
        <w:tc>
          <w:tcPr>
            <w:tcW w:type="dxa" w:w="169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实施运维工程师</w:t>
            </w:r>
          </w:p>
        </w:tc>
        <w:tc>
          <w:tcPr>
            <w:tcW w:type="dxa" w:w="36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环境接入、运行维护、排障、高风险变更复核</w:t>
            </w:r>
          </w:p>
        </w:tc>
        <w:tc>
          <w:tcPr>
            <w:tcW w:type="dxa" w:w="463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全部模块，重点是服务器、Runtime、凭据、终端和审计</w:t>
            </w:r>
          </w:p>
        </w:tc>
      </w:tr>
      <w:tr>
        <w:tc>
          <w:tcPr>
            <w:tcW w:type="dxa" w:w="1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培训讲师</w:t>
            </w:r>
          </w:p>
        </w:tc>
        <w:tc>
          <w:tcPr>
            <w:tcW w:type="dxa" w:w="3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组织演示、设置练习边界、确认学员理解异步任务</w:t>
            </w:r>
          </w:p>
        </w:tc>
        <w:tc>
          <w:tcPr>
            <w:tcW w:type="dxa" w:w="4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全文、练习与验收清单</w:t>
            </w:r>
          </w:p>
        </w:tc>
      </w:tr>
      <w:tr>
        <w:tc>
          <w:tcPr>
            <w:tcW w:type="dxa" w:w="169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审计/只读人员</w:t>
            </w:r>
          </w:p>
        </w:tc>
        <w:tc>
          <w:tcPr>
            <w:tcW w:type="dxa" w:w="36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查看状态、任务和操作记录，不执行变更</w:t>
            </w:r>
          </w:p>
        </w:tc>
        <w:tc>
          <w:tcPr>
            <w:tcW w:type="dxa" w:w="4638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仪表盘、任务、日志审计、状态总览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1.3 三条基本安全原则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先确认对象，再执行动作。任何部署、删除、停止、重启或下线前，都要确认当前服务器、实例、服务和任务。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“已提交”不等于“已成功”。状态变更通常进入异步任务，必须在任务中心看到 success，并复核对应模块状态。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终端与凭据按生产权限对待。不要在培训截图、任务说明或聊天记录中粘贴密码、私钥、Token 和完整连接串。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培训演示默认使用只读查看和可撤销操作。删除实例、卸载服务、删除镜像、发布/回滚配置、清空日志、删除审计以及在终端执行修改命令，都应由讲师明确授权后进行。</w:t>
      </w:r>
    </w:p>
    <w:p>
      <w:pPr>
        <w:pStyle w:val="Heading1"/>
      </w:pPr>
      <w:r>
        <w:t>2 登录后的界面与权限</w:t>
      </w:r>
    </w:p>
    <w:p>
      <w:pPr>
        <w:pStyle w:val="Heading2"/>
      </w:pPr>
      <w:r>
        <w:t>2.1 界面组成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登录后页面由三部分组成：左侧导航用于进入业务模块；右侧工作区显示当前页面；工作区顶部显示实时连接、提醒和任务进度。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 descr="图 1  登录后的仪表盘：左侧为功能导航，顶部为实时状态，正文为状态汇总与提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1  登录后的仪表盘：左侧为功能导航，顶部为实时状态，正文为状态汇总与提醒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左侧导航是主要入口。选中菜单会使用高亮样式标识。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“实时已连接”表示后台采集状态变化可主动推送到页面；连接暂时不可用时，页面可能退化为低频刷新。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铃铛和提醒区域用于快速发现严重或警告状态。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全局任务进度可从其他页面持续提示任务状态，点击后可进入任务详情。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左下角显示当前 Provider 模式和登录用户，并提供退出登录。</w:t>
      </w:r>
    </w:p>
    <w:p>
      <w:pPr>
        <w:pStyle w:val="Heading2"/>
      </w:pPr>
      <w:r>
        <w:t>2.2 当前主要菜单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当前侧边导航包括：仪表盘、应用商店、服务器、容器、数据库、Nacos、对象存储、凭据中心、终端、任务中心、日志审计和面板设置。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工具箱页面仍可用于离线资源核对和重新扫描，但当前不是侧边一级菜单，主要供实施运维在明确知道入口时使用。</w:t>
      </w:r>
    </w:p>
    <w:p>
      <w:pPr>
        <w:pStyle w:val="Heading2"/>
      </w:pPr>
      <w:r>
        <w:t>2.3 权限如何影响页面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Owner 与 Admin 默认拥有全部权限。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Operator 可进行日常资源扫描、服务器、终端、任务、应用、容器、数据库和存储操作，并可查看提醒和使用已授权凭据。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Viewer 与 Auditor 默认以只读访问为主。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凭据中心和终端菜单本身受权限控制；其他页面的按钮可能可见但禁用，并显示权限不足原因。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修改账号角色或重置密码会使旧会话 Token 失效。培训中如果页面突然回到登录状态，应先确认账号是否刚被管理员调整。</w:t>
      </w:r>
    </w:p>
    <w:p>
      <w:pPr>
        <w:pStyle w:val="Heading2"/>
      </w:pPr>
      <w:r>
        <w:t>2.4 常见状态词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57"/>
        <w:gridCol w:w="2494"/>
        <w:gridCol w:w="3327"/>
      </w:tblGrid>
      <w:tr>
        <w:tc>
          <w:tcPr>
            <w:tcW w:type="dxa" w:w="41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24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含义</w:t>
            </w:r>
          </w:p>
        </w:tc>
        <w:tc>
          <w:tcPr>
            <w:tcW w:type="dxa" w:w="33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操作建议</w:t>
            </w:r>
          </w:p>
        </w:tc>
      </w:tr>
      <w:tr>
        <w:tc>
          <w:tcPr>
            <w:tcW w:type="dxa" w:w="4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pending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任务已进入队列，尚未开始</w:t>
            </w:r>
          </w:p>
        </w:tc>
        <w:tc>
          <w:tcPr>
            <w:tcW w:type="dxa" w:w="3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等待调度，不要重复提交</w:t>
            </w:r>
          </w:p>
        </w:tc>
      </w:tr>
      <w:tr>
        <w:tc>
          <w:tcPr>
            <w:tcW w:type="dxa" w:w="415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running</w:t>
            </w:r>
          </w:p>
        </w:tc>
        <w:tc>
          <w:tcPr>
            <w:tcW w:type="dxa" w:w="249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任务正在执行</w:t>
            </w:r>
          </w:p>
        </w:tc>
        <w:tc>
          <w:tcPr>
            <w:tcW w:type="dxa" w:w="332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查看当前步骤和目标日志</w:t>
            </w:r>
          </w:p>
        </w:tc>
      </w:tr>
      <w:tr>
        <w:tc>
          <w:tcPr>
            <w:tcW w:type="dxa" w:w="4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success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任务执行完成</w:t>
            </w:r>
          </w:p>
        </w:tc>
        <w:tc>
          <w:tcPr>
            <w:tcW w:type="dxa" w:w="3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回到业务页面复核最终状态</w:t>
            </w:r>
          </w:p>
        </w:tc>
      </w:tr>
      <w:tr>
        <w:tc>
          <w:tcPr>
            <w:tcW w:type="dxa" w:w="415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failed</w:t>
            </w:r>
          </w:p>
        </w:tc>
        <w:tc>
          <w:tcPr>
            <w:tcW w:type="dxa" w:w="249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任务失败</w:t>
            </w:r>
          </w:p>
        </w:tc>
        <w:tc>
          <w:tcPr>
            <w:tcW w:type="dxa" w:w="332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定位首个失败步骤和对应目标</w:t>
            </w:r>
          </w:p>
        </w:tc>
      </w:tr>
      <w:tr>
        <w:tc>
          <w:tcPr>
            <w:tcW w:type="dxa" w:w="4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cancelled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已取消或取消后终止</w:t>
            </w:r>
          </w:p>
        </w:tc>
        <w:tc>
          <w:tcPr>
            <w:tcW w:type="dxa" w:w="3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检查已完成变更，不能假设自动回滚</w:t>
            </w:r>
          </w:p>
        </w:tc>
      </w:tr>
      <w:tr>
        <w:tc>
          <w:tcPr>
            <w:tcW w:type="dxa" w:w="415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available / ready</w:t>
            </w:r>
          </w:p>
        </w:tc>
        <w:tc>
          <w:tcPr>
            <w:tcW w:type="dxa" w:w="249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目标可用或就绪</w:t>
            </w:r>
          </w:p>
        </w:tc>
        <w:tc>
          <w:tcPr>
            <w:tcW w:type="dxa" w:w="332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可继续后续操作</w:t>
            </w:r>
          </w:p>
        </w:tc>
      </w:tr>
      <w:tr>
        <w:tc>
          <w:tcPr>
            <w:tcW w:type="dxa" w:w="4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degraded / unhealthy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部分能力异常</w:t>
            </w:r>
          </w:p>
        </w:tc>
        <w:tc>
          <w:tcPr>
            <w:tcW w:type="dxa" w:w="33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先排障，避免继续变更</w:t>
            </w:r>
          </w:p>
        </w:tc>
      </w:tr>
      <w:tr>
        <w:tc>
          <w:tcPr>
            <w:tcW w:type="dxa" w:w="415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unknown</w:t>
            </w:r>
          </w:p>
        </w:tc>
        <w:tc>
          <w:tcPr>
            <w:tcW w:type="dxa" w:w="249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尚未探测或证据不足</w:t>
            </w:r>
          </w:p>
        </w:tc>
        <w:tc>
          <w:tcPr>
            <w:tcW w:type="dxa" w:w="3327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刷新或发起检测，不要直接判断正常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 日常操作主线</w:t>
      </w:r>
    </w:p>
    <w:p>
      <w:pPr>
        <w:pStyle w:val="Heading2"/>
      </w:pPr>
      <w:r>
        <w:t>3.1 场景一：新增服务器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目的：把一台 Linux 目标机登记到 AIFAR 控制面。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适用角色：实施运维工程师。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前提条件：已获得服务器地址、SSH 端口、用户名、认证方式和部署目录；网络与账号权限由现场负责人确认。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进入“服务器”。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点击“添加服务器”。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填写名称和主机地址；SSH 端口通常为 22。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填写用户名，选择“密码”或“私钥”认证方式。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输入对应凭据；部署目录默认可使用 /aifar/apps，如现场有统一规划则按规划填写。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填写必要标签和备注，复核后保存。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回到服务器清单，确认新服务器已出现，凭据状态显示“已配置”。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预期结果：服务器记录成功保存，初始状态可能为 unknown 或待探测。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风险提示：保存成功只代表控制面记录已建立，不代表 SSH 已连通。</w:t>
      </w:r>
    </w:p>
    <w:p>
      <w:pPr>
        <w:pStyle w:val="Heading2"/>
      </w:pPr>
      <w:r>
        <w:t>3.2 场景二：探测服务器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目的：验证凭据、SSH 连接和运行环境，并更新服务器状态。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适用角色：操作员或实施运维工程师。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前提条件：服务器记录与凭据已保存；现场网络允许 AIFAR 访问目标 SSH 端口。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在服务器清单选择目标服务器。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点击“探测主机”。批量操作时先复核选中的服务器范围。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页面提示任务已提交后，进入“任务中心”。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 load-server、check-credential、probe-ssh、collect-runtime 等步骤。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如果失败，先看首个失败步骤，再查看对应 target 日志。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任务成功后返回服务器页面刷新，确认状态和运行能力信息。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预期结果：任务进入 success，服务器显示可用或明确的检测状态。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风险提示：连续重复探测会产生多条任务和审计记录；网络明显不可达时应先处理基础连通性。</w:t>
      </w:r>
    </w:p>
    <w:p>
      <w:pPr>
        <w:pStyle w:val="Heading2"/>
      </w:pPr>
      <w:r>
        <w:t>3.3 场景三：部署应用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目的：从当前离线资源和安装模块部署受支持的应用。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适用角色：操作员提交标准部署，实施运维工程师负责参数与拓扑复核。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前提条件：目标服务器可用；应用的前端模块、后端模块和必需离线资源均已接入。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图 2  应用商店：卡片展示应用类型、版本、模块接入状态、资源状态和安装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2  应用商店：卡片展示应用类型、版本、模块接入状态、资源状态和安装入口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进入“应用商店”，确认应用卡片显示“前端已接入”“后端已接入”“资源齐备”。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点击目标应用的“安装”。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在配置弹窗中选择版本、服务器和拓扑。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按应用要求填写动态参数。集群拓扑必须满足最小节点数。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再次核对目标服务器和数据目录，提交安装。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进入任务中心跟踪安装步骤、目标和日志。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任务成功后回到“已安装”或对应业务工作区执行实例检测。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预期结果：安装任务 success，应用实例记录存在，实例检测给出可用结果。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风险提示：卡片上的“资源齐备”表示离线资源可用，不表示目标服务器一定满足磁盘、端口、SELinux 或系统依赖要求。</w:t>
      </w:r>
    </w:p>
    <w:p>
      <w:pPr>
        <w:pStyle w:val="Heading2"/>
      </w:pPr>
      <w:r>
        <w:t>3.4 场景四：确认任务真正完成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目的：避免把“任务已提交”误判为远程操作成功。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适用角色：所有执行变更的人员。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前提条件：已经提交一个探测、部署、检测、删除、资源扫描或维护任务。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3" name="Picture 3" descr="图 3  任务中心：左侧选择任务，右侧查看状态、目标、步骤与日志；顶部提供停止和清理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3  任务中心：左侧选择任务，右侧查看状态、目标、步骤与日志；顶部提供停止和清理入口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进入“任务中心”，按类别和状态筛选。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选择目标任务，确认类型、目标和创建时间与刚才的操作一致。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查看总体状态，再查看步骤状态。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有多个服务器时逐一检查 target，避免只看到一个目标成功。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查看失败前后的日志，记录首个明确错误，而不是只复制最后一行。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任务 success 后返回业务页面刷新并执行一次状态确认。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预期结果：任务和业务页面状态相互印证。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风险提示：取消任务时，已完成的远程步骤通常不会自动回滚。</w:t>
      </w:r>
    </w:p>
    <w:p>
      <w:pPr>
        <w:pStyle w:val="Heading1"/>
      </w:pPr>
      <w:r>
        <w:t>4 功能模块详解</w:t>
      </w:r>
    </w:p>
    <w:p>
      <w:pPr>
        <w:pStyle w:val="Heading2"/>
      </w:pPr>
      <w:r>
        <w:t>4.1 仪表盘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仪表盘汇总服务器、提醒、任务、Docker、数据库和对象存储状态。它适合回答“哪里可能有问题”，但不能单独回答“问题为什么发生”。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操作员应关注：严重提醒数量、运行中任务、服务器可用数、数据库与对象存储状态。发现异常后进入对应模块和任务中心继续核对。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运维进阶：实时通道断开时不要仅凭旧快照判断恢复；可尝试重连或进入目标模块刷新。提醒来自后台采集与规则判断，恢复前应保留相关任务和目标日志。</w:t>
      </w:r>
    </w:p>
    <w:p>
      <w:pPr>
        <w:pStyle w:val="Heading2"/>
      </w:pPr>
      <w:r>
        <w:t>4.2 服务器工作台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服务器页面用于管理准入、访问配置、探测、终端入口和运行能力。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清单区用于搜索、选择和查看各服务器状态。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详情区包含概览、访问配置和运行能力。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“编辑”用于修改控制面记录；“探测主机”创建异步任务；“删除”移除服务器记录。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删除前应确认是否仍有关联应用实例、Docker Host 或终端使用需求。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删除服务器记录不是远程卸载应用，也不会替你清理目标机上的目录。先处理依赖，再删除控制面记录。</w:t>
      </w:r>
    </w:p>
    <w:p>
      <w:pPr>
        <w:pStyle w:val="Heading2"/>
      </w:pPr>
      <w:r>
        <w:t>4.3 应用商店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应用商店通过前端 registry、后端 registry 和离线资源共同决定应用是否可部署。当前可见模块可包括 AIFAR 服务、Docker、MySQL、Redis、MinIO 和 Nacos，具体以当前资源扫描结果为准。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“全部”查看可识别应用和准入状态。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“已安装”查看实例并进行检测、更新、删除或卸载。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“部署记录”查看应用相关任务。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“设置”承载应用商店相关配置入口。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拓扑要求：MySQL InnoDB Cluster 至少 3 台；Redis Sentinel/Cluster 至少 3 台；MinIO distributed 至少 4 台。若选择 standalone，则按单目标处理。</w:t>
      </w:r>
    </w:p>
    <w:p>
      <w:pPr>
        <w:pStyle w:val="Heading2"/>
      </w:pPr>
      <w:r>
        <w:t>4.4 容器与 AIFAR Runtime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容器页面面向已选择的 Docker Host，包含“概览”“AIFAR 运行时”和“镜像”等区域。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104788"/>
            <wp:docPr id="4" name="Picture 4" descr="图 4  容器工作区局部：可在概览、AIFAR 运行时和镜像之间切换，并查看容器、镜像、网络、卷和磁盘占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tai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0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4  容器工作区局部：可在概览、AIFAR 运行时和镜像之间切换，并查看容器、镜像、网络、卷和磁盘占用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普通容器能力包括：查看容器、镜像、网络、卷和磁盘使用；启动、停止、重启、删除容器；批量动作；删除镜像；查看增量日志。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AIFAR Runtime 重点对象：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Instance：一套 AIFAR Runtime 实例。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Deployment：一个服务的期望副本、版本和滚动状态。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Pod：实际运行的容器副本。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Service/Endpoint：服务入口与可转发端点。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Runtime 日志：可按服务或 Pod 选择范围，并按级别和关键词过滤。</w:t>
      </w:r>
    </w:p>
    <w:p>
      <w:pPr>
        <w:spacing w:before="100" w:after="140" w:line="288" w:lineRule="auto"/>
        <w:ind w:left="180" w:right="120"/>
        <w:shd w:fill="EAF3FF"/>
        <w:pBdr>
          <w:left w:val="single" w:sz="14" w:space="7" w:color="1677FF"/>
        </w:pBdr>
      </w:pPr>
      <w:r>
        <w:rPr>
          <w:rFonts w:ascii="Arial" w:hAnsi="Arial" w:eastAsia="Microsoft YaHei"/>
          <w:b/>
          <w:color w:val="1677FF"/>
          <w:sz w:val="20"/>
        </w:rPr>
        <w:t xml:space="preserve">提示  </w:t>
      </w:r>
      <w:r>
        <w:rPr>
          <w:rFonts w:ascii="Arial" w:hAnsi="Arial" w:eastAsia="Microsoft YaHei"/>
          <w:color w:val="243247"/>
          <w:sz w:val="20"/>
        </w:rPr>
        <w:t>Docker restart 只重启原容器，不会重新读取通过 --env-file 注入的最新环境文件。需要读取新配置时，应使用产品提供的“全部重启（读取新配置）”或相应滚动重建能力。</w:t>
      </w:r>
    </w:p>
    <w:p>
      <w:pPr>
        <w:pStyle w:val="Heading2"/>
      </w:pPr>
      <w:r>
        <w:t>4.5 数据库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数据库页面聚合 MySQL、Redis 和 MySQL Router 实例，展示引擎、版本、拓扑、节点、角色、状态和部署记录。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没有实例时可前往应用商店部署。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有实例时先查看整体状态，再展开节点状态和角色。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standalone、InnoDB Cluster、Sentinel 和 Cluster 的判断标准不同，不要只看实例记录是否存在。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检测失败时进入对应任务，结合节点和目标日志判断是网络、凭据、进程、端口还是集群状态问题。</w:t>
      </w:r>
    </w:p>
    <w:p>
      <w:pPr>
        <w:pStyle w:val="Heading2"/>
      </w:pPr>
      <w:r>
        <w:t>4.6 Nacos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Nacos 页面管理已登记的 standalone/cluster 实例、节点状态、部署记录和配置发布。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“实例”查看拓扑和节点。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“配置发布”用于生成预览、发布配置、查看版本并回滚。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“部署记录”查看安装和相关任务。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“配置”查看与实例有关的控制面配置。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运维进阶：Nacos 为服务发现和配置提供数据；实际业务请求由调用方和代理/服务入口转发。不要把 Nacos 本身描述成业务流量转发器。</w:t>
      </w:r>
    </w:p>
    <w:p>
      <w:pPr>
        <w:pStyle w:val="Heading2"/>
      </w:pPr>
      <w:r>
        <w:t>4.7 对象存储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对象存储页面用于查看已登记的 MinIO 实例、状态、部署记录、清理策略，以及 Bucket、对象、用户、Access Key 和复制配置的控制面条目。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5" name="Picture 5" descr="图 5  对象存储：实例、Bucket、对象、访问控制、复制配置、部署记录和配置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o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5  对象存储：实例、Bucket、对象、访问控制、复制配置、部署记录和配置入口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当前重要边界：bucket、object、user、access-key、replica 主要是控制面记录。页面显示“已保存”不等于已经通过 MinIO API 或 mc 在真实对象存储执行成功。复制配置也是先登记，后续才可映射为真实 bucket replication 规则。</w:t>
      </w:r>
    </w:p>
    <w:p>
      <w:pPr>
        <w:pStyle w:val="Heading2"/>
      </w:pPr>
      <w:r>
        <w:t>4.8 凭据中心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凭据中心集中管理数据库、Redis、Nacos、MinIO 等应用安装和运行所需的凭据引用。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6" name="Picture 6" descr="图 6  凭据中心：按名称、类型和状态查找凭据，并通过“新增凭据”建立受控引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edenti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6  凭据中心：按名称、类型和状态查找凭据，并通过“新增凭据”建立受控引用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Secret 只显示“已配置/未配置”，不回显真实值。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删除前先查看引用，确认没有应用实例、Runtime 或维护流程仍在使用。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变更凭据后需要结合具体服务的配置加载方式决定是否滚动重建，不能只修改记录后假设业务立即生效。</w:t>
      </w:r>
    </w:p>
    <w:p>
      <w:pPr>
        <w:pStyle w:val="Heading2"/>
      </w:pPr>
      <w:r>
        <w:t>4.9 SSH 终端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终端页面通过浏览器内 xterm 连接已登记服务器。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7" name="Picture 7" descr="图 7  SSH 终端：选择服务器后新建独立连接，工作区显示终端页签与分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7  SSH 终端：选择服务器后新建独立连接，工作区显示终端页签与分屏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可对同一服务器建立多个独立会话，用于分别查看日志和执行命令。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所有连接以顶部页签管理；最多选择 4 个会话同屏展示。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1 个会话全屏，2 个左右分栏，3 至 4 个使用 2×2 布局；窄屏会纵向堆叠。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切换侧边菜单时连接保持；刷新页面、关闭浏览器、退出登录或真正卸载页面时连接清理。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每个页签独立显示连接状态；断线后保留历史并支持手动重连。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终端风险等同直接 SSH。培训中只执行 hostname、date、uptime、df -h、free -h、systemctl status 等只读命令；不要执行删除、格式化、重启或自由修改配置。</w:t>
      </w:r>
    </w:p>
    <w:p>
      <w:pPr>
        <w:pStyle w:val="Heading2"/>
      </w:pPr>
      <w:r>
        <w:t>4.10 任务中心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任务中心是所有异步变更的统一证据入口。支持筛选、选择、查看日志、停止任务、清空日志和删除任务。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“停止任务”只对 pending/running 生效。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“清空日志”保留任务状态、目标和步骤。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“删除任务”删除任务及其日志、目标和步骤；运行中任务不能删除。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有多个 target 时必须逐一查看，不要只看控制面总状态。</w:t>
      </w:r>
    </w:p>
    <w:p>
      <w:pPr>
        <w:pStyle w:val="Heading2"/>
      </w:pPr>
      <w:r>
        <w:t>4.11 日志审计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日志审计记录操作者、模块、动作、目标、Provider、状态和详情。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8" name="Picture 8" descr="图 8  日志审计：按模块和状态筛选，并查看操作者、动作、目标和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u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8  日志审计：按模块和状态筛选，并查看操作者、动作、目标和结果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审计适合回答“谁在何时发起了什么操作”。任务日志适合回答“远程执行到了哪一步、为何失败”。两者应结合使用。</w:t>
      </w:r>
    </w:p>
    <w:p>
      <w:pPr>
        <w:pStyle w:val="Heading2"/>
      </w:pPr>
      <w:r>
        <w:t>4.12 面板设置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面板设置按页签管理基础设置、数据维护、账号与角色和状态总览。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9" name="Picture 9" descr="图 9  面板设置：基础设置、数据维护、账号与角色、状态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</w:pPr>
      <w:r>
        <w:rPr>
          <w:rFonts w:ascii="Arial" w:hAnsi="Arial" w:eastAsia="Microsoft YaHei"/>
          <w:color w:val="667085"/>
          <w:sz w:val="17"/>
        </w:rPr>
        <w:t>图 9  面板设置：基础设置、数据维护、账号与角色、状态总览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基础设置包含语言和默认部署并发数。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数据维护包含控制面数据库备份、备份校验和保留期清理，相关动作进入任务中心。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账号与角色用于创建账户、调整角色和重置密码；变更会使旧 Token 失效。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状态总览用于检查控制面模块、数据库路径、资源路径和 Provider 状态。</w:t>
      </w:r>
    </w:p>
    <w:p>
      <w:pPr>
        <w:pStyle w:val="Heading2"/>
      </w:pPr>
      <w:r>
        <w:t>4.13 工具箱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工具箱用于查看离线资源、刷新资源清单和发起资源重扫。当前路由为 /toolbox，但侧边导航未展示一级入口，因此主要作为实施运维辅助页。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资源重扫是异步变更。完成后应在任务中心确认结果，再回到应用商店核对资源准入状态。</w:t>
      </w:r>
    </w:p>
    <w:p>
      <w:pPr>
        <w:pStyle w:val="Heading1"/>
      </w:pPr>
      <w:r>
        <w:t>5 常见运维场景</w:t>
      </w:r>
    </w:p>
    <w:p>
      <w:pPr>
        <w:pStyle w:val="Heading2"/>
      </w:pPr>
      <w:r>
        <w:t>5.1 查看 Runtime 日志并定位错误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目的：从大量日志中找出真正的错误事件和上下文。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适用角色：实施运维工程师。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前提条件：已选择 Docker Host 和可管理的 AIFAR Runtime 实例。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进入“容器”并选择目标 Docker Host。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打开“AIFAR 运行时”，选择实例。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选择一个或多个服务/Pod 作为日志范围。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启动日志流，根据需要关闭自动滚动。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先使用日志级别过滤查看 error，再用关键词缩小范围。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读取错误前后的续行和堆栈，不要只复制异常标题。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同时查看该时间点的 Runtime 状态、提醒和任务记录。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预期结果：获得包含服务、Pod、时间、错误正文和上下文的完整证据。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风险提示：日志可能含业务数据；复制到外部前必须脱敏。</w:t>
      </w:r>
    </w:p>
    <w:p>
      <w:pPr>
        <w:pStyle w:val="Heading2"/>
      </w:pPr>
      <w:r>
        <w:t>5.2 扩容、缩容与下线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扩容：增加目标 Deployment 的期望副本数，适合增加本机容量。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缩容：减少一个或多个副本；当期望副本仅为 1 时，缩到 0 应使用“下线”。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下线：把期望副本数置为 0，并从 Nacos 摘除该服务代理。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统一流程：确认实例与服务 → 查看当前期望/实际副本 → 发起动作 → 进入任务中心 → 等待终态 → 返回 Runtime 查看 Pod、Service 和 endpoint。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当前单机 Runtime 的副本只在同一 Docker Host 内调度。服务器故障后，Nacos 可影响流量选择，但不会自动把丢失副本重建到另一台服务器。</w:t>
      </w:r>
    </w:p>
    <w:p>
      <w:pPr>
        <w:pStyle w:val="Heading2"/>
      </w:pPr>
      <w:r>
        <w:t>5.3 全部重启并读取新配置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目的：让当前选中 Runtime 实例的已启用服务重新读取最新 env 配置。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适用角色：实施运维工程师。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前提条件：配置文件已完成现场复核；Runtime 不处于 legacy/degraded 禁用状态；有足够资源进行滚动重建。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进入“容器 &gt; AIFAR 运行时”，确认当前实例。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查看服务数量、期望副本和当前健康状态。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点击“全部重启（读取新配置）”。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阅读确认内容：仅处理期望副本大于 0 的服务，已下线服务保持 0。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提交后进入任务中心，观察预检和逐服务逐副本滚动步骤。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任一新容器健康失败时，任务会停止后续服务；检查失败服务并确认旧容器是否仍保留。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任务成功后验证关键服务健康、endpoint 和业务调用。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预期结果：已启用服务滚动重建并读取当前环境配置。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风险提示：取消任务不会回滚已经完成的替换；执行前必须准备配置回退方案。</w:t>
      </w:r>
    </w:p>
    <w:p>
      <w:pPr>
        <w:pStyle w:val="Heading2"/>
      </w:pPr>
      <w:r>
        <w:t>5.4 停止当前任务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目的：请求取消当前 pending/running worker 任务。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适用角色：具备 tasks.manage 权限的操作员或运维人员。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前提条件：已在任务中心选择目标任务，状态为 pending 或 running。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操作步骤：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核对任务类型、目标和创建时间。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点击“停止任务”。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阅读确认提示，确认已完成远程变更不会自动回滚。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提交停止请求，持续观察任务直到进入 cancelled、failed 或其他终态。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回到业务模块检查现场实际状态。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预期结果：任务在可取消点停止，未开始的后续步骤不再执行。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风险提示：停止任务不是服务下线，也不是事务回滚。</w:t>
      </w:r>
    </w:p>
    <w:p>
      <w:pPr>
        <w:pStyle w:val="Heading2"/>
      </w:pPr>
      <w:r>
        <w:t>5.5 实例检测与删除/卸载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检测流程：在已安装实例选择“检测” → 查看任务 → 核对版本、进程/systemd、端口和节点 → 回到实例列表确认状态。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删除/卸载流程：先确认业务停用和数据处理方案 → 检查关联实例与凭据 → 选择目标实例 → 输入目标服务器已保存的 SSH 密码确认 → 提交任务 → 查看每个目标日志 → 核对控制面记录与远程状态。</w:t>
      </w:r>
    </w:p>
    <w:p>
      <w:pPr>
        <w:spacing w:before="100" w:after="140" w:line="288" w:lineRule="auto"/>
        <w:ind w:left="180" w:right="120"/>
        <w:shd w:fill="FFF4E5"/>
        <w:pBdr>
          <w:left w:val="single" w:sz="14" w:space="7" w:color="B54708"/>
        </w:pBdr>
      </w:pPr>
      <w:r>
        <w:rPr>
          <w:rFonts w:ascii="Arial" w:hAnsi="Arial" w:eastAsia="Microsoft YaHei"/>
          <w:b/>
          <w:color w:val="B54708"/>
          <w:sz w:val="20"/>
        </w:rPr>
        <w:t xml:space="preserve">风险提示  </w:t>
      </w:r>
      <w:r>
        <w:rPr>
          <w:rFonts w:ascii="Arial" w:hAnsi="Arial" w:eastAsia="Microsoft YaHei"/>
          <w:color w:val="243247"/>
          <w:sz w:val="20"/>
        </w:rPr>
        <w:t>删除控制面记录与远程卸载的后果可能不同。确认弹窗中的具体动作名称，不要把“删除记录”当成“已经清理远程数据”，也不要把“卸载”当成“可无损恢复”。</w:t>
      </w:r>
    </w:p>
    <w:p>
      <w:pPr>
        <w:pStyle w:val="Heading1"/>
      </w:pPr>
      <w:r>
        <w:t>6 高风险操作与能力边界</w:t>
      </w:r>
    </w:p>
    <w:p>
      <w:pPr>
        <w:pStyle w:val="Heading2"/>
      </w:pPr>
      <w:r>
        <w:t>6.1 高风险操作清单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74"/>
        <w:gridCol w:w="2092"/>
        <w:gridCol w:w="5312"/>
      </w:tblGrid>
      <w:tr>
        <w:tc>
          <w:tcPr>
            <w:tcW w:type="dxa" w:w="2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操作</w:t>
            </w:r>
          </w:p>
        </w:tc>
        <w:tc>
          <w:tcPr>
            <w:tcW w:type="dxa" w:w="20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主要风险</w:t>
            </w:r>
          </w:p>
        </w:tc>
        <w:tc>
          <w:tcPr>
            <w:tcW w:type="dxa" w:w="5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执行前必须确认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删除/卸载应用实例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服务中断、目录或数据被删除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目标实例、数据方案、依赖、凭据确认</w:t>
            </w:r>
          </w:p>
        </w:tc>
      </w:tr>
      <w:tr>
        <w:tc>
          <w:tcPr>
            <w:tcW w:type="dxa" w:w="25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 remove / 镜像删除</w:t>
            </w:r>
          </w:p>
        </w:tc>
        <w:tc>
          <w:tcPr>
            <w:tcW w:type="dxa" w:w="209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服务或回滚资产不可用</w:t>
            </w:r>
          </w:p>
        </w:tc>
        <w:tc>
          <w:tcPr>
            <w:tcW w:type="dxa" w:w="531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容器用途、运行状态、镜像引用、回滚来源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Runtime 下线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期望副本归零、服务摘除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当前实例、服务名、上游影响</w:t>
            </w:r>
          </w:p>
        </w:tc>
      </w:tr>
      <w:tr>
        <w:tc>
          <w:tcPr>
            <w:tcW w:type="dxa" w:w="25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Runtime 全部重启</w:t>
            </w:r>
          </w:p>
        </w:tc>
        <w:tc>
          <w:tcPr>
            <w:tcW w:type="dxa" w:w="209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多服务滚动变更</w:t>
            </w:r>
          </w:p>
        </w:tc>
        <w:tc>
          <w:tcPr>
            <w:tcW w:type="dxa" w:w="531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配置已审核、容量、健康门禁、回退方案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 配置发布/回滚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多服务配置改变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Data ID/Group/Namespace、差异预览、发布窗口</w:t>
            </w:r>
          </w:p>
        </w:tc>
      </w:tr>
      <w:tr>
        <w:tc>
          <w:tcPr>
            <w:tcW w:type="dxa" w:w="25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凭据删除/修改</w:t>
            </w:r>
          </w:p>
        </w:tc>
        <w:tc>
          <w:tcPr>
            <w:tcW w:type="dxa" w:w="209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依赖方无法连接</w:t>
            </w:r>
          </w:p>
        </w:tc>
        <w:tc>
          <w:tcPr>
            <w:tcW w:type="dxa" w:w="531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引用清单、轮换顺序、重新加载方式</w:t>
            </w:r>
          </w:p>
        </w:tc>
      </w:tr>
      <w:tr>
        <w:tc>
          <w:tcPr>
            <w:tcW w:type="dxa" w:w="2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任务/审计删除</w:t>
            </w:r>
          </w:p>
        </w:tc>
        <w:tc>
          <w:tcPr>
            <w:tcW w:type="dxa" w:w="2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证据不可查</w:t>
            </w:r>
          </w:p>
        </w:tc>
        <w:tc>
          <w:tcPr>
            <w:tcW w:type="dxa" w:w="5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保留要求、任务终态、导出或审批</w:t>
            </w:r>
          </w:p>
        </w:tc>
      </w:tr>
      <w:tr>
        <w:tc>
          <w:tcPr>
            <w:tcW w:type="dxa" w:w="2574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SSH 终端写操作</w:t>
            </w:r>
          </w:p>
        </w:tc>
        <w:tc>
          <w:tcPr>
            <w:tcW w:type="dxa" w:w="209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直接改变目标系统</w:t>
            </w:r>
          </w:p>
        </w:tc>
        <w:tc>
          <w:tcPr>
            <w:tcW w:type="dxa" w:w="531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命令、目标机、权限、回退和现场授权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6.2 当前能力边界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对象存储的 Bucket、对象、用户、Access Key 和复制配置主要为控制面记录，不等于完整 MinIO API 实操。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Docker Runtime 管理通过 Docker CLI 或目标机上的运行接口完成，页面状态仍需目标连通性支持。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Nacos 负责配置与服务发现数据，不直接转发业务流量。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AIFAR Runtime 当前是单机 Docker 执行面；跨服务器自动调度、统一控制器和故障重建不等同 Kubernetes 集群能力。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实时状态依赖后端事件和采集器；断连或采集失败时状态可能暂时陈旧。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页面上的“可用”来自当前检测证据，不替代真实业务验收。</w:t>
      </w:r>
    </w:p>
    <w:p>
      <w:pPr>
        <w:pStyle w:val="Heading1"/>
      </w:pPr>
      <w:r>
        <w:t>7 常见问题与故障定位</w:t>
      </w:r>
    </w:p>
    <w:p>
      <w:pPr>
        <w:pStyle w:val="Heading2"/>
      </w:pPr>
      <w:r>
        <w:t>7.1 通用排障顺序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确认当前页面、服务器、实例和服务是否选对。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查看全局实时连接和最近刷新时间，排除旧状态。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进入任务中心，找到与操作时间和目标一致的任务。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定位首个失败步骤，再定位失败 target。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读取错误上下文，不只看最后一行。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返回业务页面刷新状态，判断控制面记录与远程结果是否一致。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必要时使用终端执行最小只读检查；未经授权不修改现场。</w:t>
      </w:r>
    </w:p>
    <w:p>
      <w:pPr>
        <w:pStyle w:val="Heading2"/>
      </w:pPr>
      <w:r>
        <w:t>7.2 常见问题</w:t>
      </w:r>
    </w:p>
    <w:p>
      <w:pPr>
        <w:pStyle w:val="Heading3"/>
      </w:pPr>
      <w:r>
        <w:t>页面提示“任务已提交”，但状态没有变化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原因通常是任务仍在 pending/running、某个目标失败、实时事件暂时断开或业务页面尚未刷新。进入任务中心确认终态；成功后回到业务页面刷新。</w:t>
      </w:r>
    </w:p>
    <w:p>
      <w:pPr>
        <w:pStyle w:val="Heading3"/>
      </w:pPr>
      <w:r>
        <w:t>服务器一直是 unknown 或失败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先看 probe 任务的 check-credential 和 probe-ssh 步骤。核对目标地址、SSH 端口、认证方式、用户名、凭据状态和网络策略。不要在没有证据时反复删除重建服务器记录。</w:t>
      </w:r>
    </w:p>
    <w:p>
      <w:pPr>
        <w:pStyle w:val="Heading3"/>
      </w:pPr>
      <w:r>
        <w:t>应用卡片不能安装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查看卡片是否同时满足前端已接入、后端已接入和资源齐备；然后确认目标服务器数量是否满足拓扑、Docker 前置条件和磁盘要求。必要时使用工具箱重扫资源并查看资源任务。</w:t>
      </w:r>
    </w:p>
    <w:p>
      <w:pPr>
        <w:pStyle w:val="Heading3"/>
      </w:pPr>
      <w:r>
        <w:t>Runtime 变更按钮不可用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常见原因包括：没有选择 Docker Host/Runtime 实例、旧编排模型不支持、Runtime degraded、权限不足或另一个变更正在提交。先读取页面禁用提示和当前状态。</w:t>
      </w:r>
    </w:p>
    <w:p>
      <w:pPr>
        <w:pStyle w:val="Heading3"/>
      </w:pPr>
      <w:r>
        <w:t>修改 env 后执行 Docker restart，配置没有生效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环境文件通常在容器创建时注入。Docker restart 不会重新读取 env 文件；使用 Runtime 的滚动重建或“全部重启（读取新配置）”。</w:t>
      </w:r>
    </w:p>
    <w:p>
      <w:pPr>
        <w:pStyle w:val="Heading3"/>
      </w:pPr>
      <w:r>
        <w:t>停止任务后服务仍然在运行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停止任务只取消 worker 任务，不会把 Runtime 服务副本数置为 0。需要停止接流或副本归零时，应在 Runtime 中使用“下线”，并按影响范围确认。</w:t>
      </w:r>
    </w:p>
    <w:p>
      <w:pPr>
        <w:pStyle w:val="Heading3"/>
      </w:pPr>
      <w:r>
        <w:t>终端切换菜单后是否会断开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不会。终端页面被保留，后台会话继续接收输出；刷新页面、关闭浏览器或退出登录会断开全部会话。</w:t>
      </w:r>
    </w:p>
    <w:p>
      <w:pPr>
        <w:pStyle w:val="Heading3"/>
      </w:pPr>
      <w:r>
        <w:t>对象存储条目保存后，为什么 MinIO 中没有变化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当前这些条目主要是控制面登记，不保证已经调用真实 MinIO API。按现场方案确认是否还有对应的执行或同步步骤。</w:t>
      </w:r>
    </w:p>
    <w:p>
      <w:pPr>
        <w:pStyle w:val="Heading1"/>
      </w:pPr>
      <w:r>
        <w:t>8 培训练习与验收</w:t>
      </w:r>
    </w:p>
    <w:p>
      <w:pPr>
        <w:pStyle w:val="Heading2"/>
      </w:pPr>
      <w:r>
        <w:t>8.1 综合练习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本练习不执行删除、卸载、配置发布或远程写操作。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登录后指出实时状态、提醒和任务进度区域。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进入服务器工作台，选择一台培训服务器并说明其凭据状态。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在讲师确认后发起一次服务器探测。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进入任务中心，找到该任务并指出总体状态、当前步骤、目标和日志。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进入应用商店，选择一个应用，说明三项准入状态和所需拓扑，但不提交安装。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进入容器页，指出普通容器、AIFAR Runtime 和镜像入口。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进入凭据中心，说明为什么 Secret 不应回显以及删除前为什么要查引用。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进入终端页，说明多会话、最多四分屏和会话清理规则，不发起真实连接。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color w:val="243247"/>
          <w:sz w:val="21"/>
        </w:rPr>
        <w:t>进入日志审计，找到刚才服务器探测对应的操作记录。</w:t>
      </w:r>
    </w:p>
    <w:p>
      <w:pPr>
        <w:pStyle w:val="Heading2"/>
      </w:pPr>
      <w:r>
        <w:t>8.2 学员验收清单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能说出“已提交”和“已成功”的区别。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能找到某个任务的首个失败步骤和失败 target。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能区分停止任务、服务下线、Docker restart 和 Runtime 全部重启。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能说明应用商店三项准入条件。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能说明终端会话何时保持、何时清理。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能说明 Storage 控制面记录不等于完整 MinIO 实操。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能列出至少三类高风险操作及执行前核对项。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能按“对象—刷新时间—任务—步骤—target—日志—业务状态”的顺序排障。</w:t>
      </w:r>
    </w:p>
    <w:p>
      <w:pPr>
        <w:pStyle w:val="Heading2"/>
      </w:pPr>
      <w:r>
        <w:t>8.3 讲师验收建议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不以“能找到按钮”作为唯一通过标准，要求学员说明前提、结果和风险。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至少设置一个失败或不可达状态，让学员使用任务中心定位，而不是只看仪表盘。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让学员口头复述取消任务不自动回滚、下线把副本置 0、Docker restart 不重读 env。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color w:val="243247"/>
          <w:sz w:val="21"/>
        </w:rPr>
        <w:t>培训结束前确认现场演示数据、截图和投屏未泄露凭据或完整连接信息。</w:t>
      </w:r>
    </w:p>
    <w:p>
      <w:pPr>
        <w:pStyle w:val="Heading1"/>
      </w:pPr>
      <w:r>
        <w:t>9 菜单、状态与权限速查</w:t>
      </w:r>
    </w:p>
    <w:p>
      <w:pPr>
        <w:pStyle w:val="Heading2"/>
      </w:pPr>
      <w:r>
        <w:t>9.1 菜单速查</w:t>
      </w:r>
    </w:p>
    <w:tbl>
      <w:tblPr>
        <w:tblStyle w:val="TableGrid"/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26"/>
        <w:gridCol w:w="2910"/>
        <w:gridCol w:w="3742"/>
      </w:tblGrid>
      <w:tr>
        <w:tc>
          <w:tcPr>
            <w:tcW w:type="dxa" w:w="3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需要完成的事情</w:t>
            </w:r>
          </w:p>
        </w:tc>
        <w:tc>
          <w:tcPr>
            <w:tcW w:type="dxa" w:w="2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首选入口</w:t>
            </w:r>
          </w:p>
        </w:tc>
        <w:tc>
          <w:tcPr>
            <w:tcW w:type="dxa" w:w="37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7"/>
              </w:rPr>
              <w:t>最终核验入口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查看整体健康和提醒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仪表盘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对应业务模块 + 任务中心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新增、编辑、探测服务器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服务器状态 + 任务中心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部署应用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应用商店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已安装实例 + 任务中心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管理普通容器和镜像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容器状态 + 任务中心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管理 AIFAR 服务副本和日志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容器 &gt; AIFAR 运行时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Runtime 状态 + 任务中心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 MySQL/Redis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数据库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节点状态 + 检测任务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查看/发布 Nacos 配置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Nacos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版本记录 + 发布任务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 MinIO 控制面记录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对象存储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实例状态 + 现场 MinIO 核验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管理应用凭据引用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凭据中心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引用清单 + 依赖服务验证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连接 SSH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终端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终端连接状态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查看/停止/清理任务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任务中心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业务模块最终状态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查看谁执行了什么操作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日志审计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对应任务详情</w:t>
            </w:r>
          </w:p>
        </w:tc>
      </w:tr>
      <w:tr>
        <w:tc>
          <w:tcPr>
            <w:tcW w:type="dxa" w:w="3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管理语言、并发、账号、维护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面板设置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设置值 + 维护任务</w:t>
            </w:r>
          </w:p>
        </w:tc>
      </w:tr>
      <w:tr>
        <w:tc>
          <w:tcPr>
            <w:tcW w:type="dxa" w:w="3326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重新扫描离线资源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工具箱</w:t>
            </w:r>
          </w:p>
        </w:tc>
        <w:tc>
          <w:tcPr>
            <w:tcW w:type="dxa" w:w="3742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247"/>
                <w:sz w:val="17"/>
              </w:rPr>
              <w:t>资源任务 + 应用商店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9.2 变更后的统一核验口诀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对象正确、任务终态、步骤完整、目标全量、日志无漏、页面刷新、业务复核。</w:t>
      </w:r>
    </w:p>
    <w:p>
      <w:pPr>
        <w:pStyle w:val="Heading2"/>
      </w:pPr>
      <w:r>
        <w:t>9.3 版本说明</w:t>
      </w:r>
    </w:p>
    <w:p>
      <w:pPr>
        <w:widowControl/>
      </w:pPr>
      <w:r>
        <w:rPr>
          <w:rFonts w:ascii="Arial" w:hAnsi="Arial" w:eastAsia="Microsoft YaHei"/>
          <w:color w:val="243247"/>
          <w:sz w:val="21"/>
        </w:rPr>
        <w:t>本手册基于 2026-07-27 的当前本地分支和实际界面制作。培训前应复核菜单名称、权限策略、应用版本、资源状态和 Runtime 操作入口；如果产品更新，应以当前页面和任务语义为准。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Microsoft YaHei"/>
        <w:color w:val="667085"/>
        <w:sz w:val="17"/>
      </w:rPr>
      <w:t xml:space="preserve">版本基线 2026-07-27  |  第 </w:t>
    </w:r>
    <w:r>
      <w:rPr>
        <w:rFonts w:ascii="Arial" w:hAnsi="Arial" w:eastAsia="Microsoft YaHei"/>
        <w:color w:val="667085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7" w:color="D9E1EA"/>
      </w:pBdr>
    </w:pPr>
    <w:r/>
    <w:r>
      <w:rPr>
        <w:rFonts w:ascii="Arial" w:hAnsi="Arial" w:eastAsia="Microsoft YaHei"/>
        <w:b/>
        <w:color w:val="667085"/>
        <w:sz w:val="17"/>
      </w:rPr>
      <w:t>AIFAR 登录后功能培训手册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b w:val="0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4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 w:val="0"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240"/>
      <w:jc w:val="center"/>
    </w:pPr>
    <w:rPr>
      <w:rFonts w:ascii="Arial" w:hAnsi="Arial" w:eastAsia="Microsoft YaHei"/>
      <w:b/>
      <w:color w:val="1677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AIFAR 登录后功能培训手册</dc:title>
  <dc:subject>AIFAR 登录后产品功能培训</dc:subject>
  <dc:creator>AIFAR</dc:creator>
  <cp:keywords>AIFAR, 培训手册, 操作员, 运维</cp:keywords>
  <dc:description>generated by python-docx</dc:description>
  <cp:lastModifiedBy>AIFAR</cp:lastModifiedBy>
  <cp:revision>1</cp:revision>
  <dcterms:created xsi:type="dcterms:W3CDTF">2013-12-23T23:15:00Z</dcterms:created>
  <dcterms:modified xsi:type="dcterms:W3CDTF">2013-12-23T23:15:00Z</dcterms:modified>
  <cp:category/>
</cp:coreProperties>
</file>