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影刀多手机项目需求与开发交接文档</w:t>
      </w:r>
    </w:p>
    <w:p>
      <w:pPr>
        <w:pStyle w:val="Subtitle"/>
      </w:pPr>
      <w:r>
        <w:t>更新日期 2026年10月3日  文档修订 1.4</w:t>
      </w:r>
    </w:p>
    <w:p>
      <w:r>
        <w:t>项目采用本地工作台管理设备、账号和任务，通过影刀连接手机。每台手机按相同流程独立运行，操作参数随机。</w:t>
      </w:r>
    </w:p>
    <w:p>
      <w:r>
        <w:t>代码版本 v0.1.0。已实现设备与账号登记、人工核验任务、内容记录、日志和 SQLite 保存。影刀、真实手机、自动搜索、身份识别和互动执行尚未接入。养号不在项目范围内。</w:t>
      </w:r>
    </w:p>
    <w:p>
      <w:pPr>
        <w:pStyle w:val="Heading1"/>
      </w:pPr>
      <w:r>
        <w:t>1 环境与部署目录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8280"/>
      </w:tblGrid>
      <w:tr>
        <w:trPr>
          <w:tblHeader/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事项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r>
              <w:rPr>
                <w:b/>
              </w:rPr>
              <w:t>环境要求与状态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使用者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交付需要明确启动方法和本地 AI 操作步骤。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本地 AI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本地 AI 的文件、命令和截图能力待确认。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影刀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已经安装；版本、套餐及手机自动化权限待确认。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目标规模</w:t>
            </w:r>
          </w:p>
        </w:tc>
        <w:tc>
          <w:tcPr>
            <w:tcW w:type="dxa" w:w="82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预期使用不少于十个账号，通过影刀连接手机；实际手机数量尚未提供。</w:t>
            </w:r>
          </w:p>
        </w:tc>
      </w:tr>
    </w:tbl>
    <w:p>
      <w:pPr>
        <w:spacing w:after="40" w:line="40" w:lineRule="exact"/>
      </w:pPr>
    </w:p>
    <w:p>
      <w:pPr>
        <w:pStyle w:val="Heading2"/>
      </w:pPr>
      <w:r>
        <w:t>本地目录</w:t>
      </w:r>
    </w:p>
    <w:p>
      <w:r>
        <w:t>项目库：D:\备份文件\项目库\抖音自动发布工具</w:t>
      </w:r>
    </w:p>
    <w:p>
      <w:r>
        <w:t>影刀下载包：D:\备份文件\项目库\抖音自动发布工具\影刀</w:t>
      </w:r>
    </w:p>
    <w:p>
      <w:r>
        <w:t>影刀安装目录：D:\备份文件\项目库\抖音自动发布工具\影刀安装目录</w:t>
      </w:r>
    </w:p>
    <w:p>
      <w:pPr>
        <w:pStyle w:val="Heading1"/>
      </w:pPr>
      <w:r>
        <w:t>2 功能需求</w:t>
      </w:r>
    </w:p>
    <w:p>
      <w:pPr>
        <w:pStyle w:val="Heading2"/>
      </w:pPr>
      <w:r>
        <w:t>两类账号与绑定</w:t>
      </w:r>
    </w:p>
    <w:p>
      <w:r>
        <w:t>①目标账号：保存昵称、账号标识或头像，用于在关键词搜索结果中识别内容作者。支持管理多个目标账号。</w:t>
      </w:r>
    </w:p>
    <w:p>
      <w:r>
        <w:t>②执行账号与手机：登记手机及其当前登录的抖音账号。手机与账号分别标识，换号后重新确认绑定关系。</w:t>
      </w:r>
    </w:p>
    <w:p>
      <w:pPr>
        <w:pStyle w:val="Heading2"/>
      </w:pPr>
      <w:r>
        <w:t>完整业务流程</w:t>
      </w:r>
    </w:p>
    <w:p>
      <w:pPr>
        <w:ind w:left="216"/>
      </w:pPr>
      <w:r>
        <w:t>1. 在工具中提供搜索框，输入关键词，并快速选择已绑定的①目标账号。</w:t>
      </w:r>
    </w:p>
    <w:p>
      <w:pPr>
        <w:ind w:left="216"/>
      </w:pPr>
      <w:r>
        <w:t>2. 从②执行账号中，按预设数量范围随机调用若干抖音账号。</w:t>
      </w:r>
    </w:p>
    <w:p>
      <w:pPr>
        <w:ind w:left="216"/>
      </w:pPr>
      <w:r>
        <w:t>3. 使用所调用账号的抖音搜索框搜索关键词，选择“最新发布”筛选；图文内容可能还需要选择图文，视频则查找最新视频。</w:t>
      </w:r>
    </w:p>
    <w:p>
      <w:pPr>
        <w:ind w:left="216"/>
      </w:pPr>
      <w:r>
        <w:t>4. 搜索结果可能需要下拉才能找到目标账号发布的最新内容。</w:t>
      </w:r>
    </w:p>
    <w:p>
      <w:pPr>
        <w:ind w:left="216"/>
      </w:pPr>
      <w:r>
        <w:t>5. 点击候选内容进入内容页，再进入作者账号页面，核对是否为①目标账号。</w:t>
      </w:r>
    </w:p>
    <w:p>
      <w:pPr>
        <w:ind w:left="216"/>
      </w:pPr>
      <w:r>
        <w:t>6. 身份不符则返回搜索结果继续查找；身份相符则返回内容页，在点赞、评论、转发中随机执行一至三个动作。</w:t>
      </w:r>
    </w:p>
    <w:p>
      <w:pPr>
        <w:pStyle w:val="Heading2"/>
      </w:pPr>
      <w:r>
        <w:t>随机设置</w:t>
      </w:r>
    </w:p>
    <w:p>
      <w:pPr>
        <w:pStyle w:val="ListBullet"/>
      </w:pPr>
      <w:r>
        <w:t>每一步操作的时间设置上下限，在预设区间内随机。</w:t>
      </w:r>
    </w:p>
    <w:p>
      <w:pPr>
        <w:pStyle w:val="ListBullet"/>
      </w:pPr>
      <w:r>
        <w:t>点赞、评论、转发共三个动作，随机执行其中一至三个动作。</w:t>
      </w:r>
    </w:p>
    <w:p>
      <w:pPr>
        <w:pStyle w:val="ListBullet"/>
      </w:pPr>
      <w:r>
        <w:t>预设评论回复池，评论内容随机选择。</w:t>
      </w:r>
    </w:p>
    <w:p>
      <w:pPr>
        <w:pStyle w:val="ListBullet"/>
      </w:pPr>
      <w:r>
        <w:t>参与任务的执行账号数量在预设范围内随机选择。</w:t>
      </w:r>
    </w:p>
    <w:p>
      <w:pPr>
        <w:pStyle w:val="Heading1"/>
      </w:pPr>
      <w:r>
        <w:t>3 架构与账号数据</w:t>
      </w:r>
    </w:p>
    <w:p>
      <w:r>
        <w:t>本地工作台负责管理与数据保存，影刀适配层负责手机调用。当前适配层返回未配置，调用方式需根据实际影刀能力确定。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8064"/>
      </w:tblGrid>
      <w:tr>
        <w:trPr>
          <w:tblHeader/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部分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r>
              <w:rPr>
                <w:b/>
              </w:rPr>
              <w:t>职责设计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本地管理程序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设备列表、账号资料、内容记录、任务状态、日志、暂停与恢复。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影刀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连接指定手机、读取界面、截图，执行已确定范围内的手机操作。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用户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首次登录、账号身份确认、处理验证提示，决定真实互动内容。</w:t>
            </w:r>
          </w:p>
        </w:tc>
      </w:tr>
    </w:tbl>
    <w:p>
      <w:pPr>
        <w:spacing w:after="40" w:line="40" w:lineRule="exact"/>
      </w:pPr>
    </w:p>
    <w:p>
      <w:r>
        <w:t>同一台手机同一时间由一个控制入口操作，防止并发操作使用过期页面状态。当前同设备互斥仅覆盖工作台内的任务，无法检测外部工具占用。</w:t>
      </w:r>
    </w:p>
    <w:p>
      <w:pPr>
        <w:pStyle w:val="Heading2"/>
      </w:pPr>
      <w:r>
        <w:t>账号数据设计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7776"/>
      </w:tblGrid>
      <w:tr>
        <w:trPr>
          <w:tblHeader/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列表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r>
              <w:rPr>
                <w:b/>
              </w:rPr>
              <w:t>字段设计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目标账号库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内部编号、昵称、抖音号、主页链接、参考头像、分组、备注、最近核验时间。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设备与登录账号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设备唯一标识、手机备注、型号、连接状态、当前登录账号、最后确认时间。</w:t>
            </w:r>
          </w:p>
        </w:tc>
      </w:tr>
    </w:tbl>
    <w:p>
      <w:pPr>
        <w:spacing w:after="40" w:line="40" w:lineRule="exact"/>
      </w:pPr>
    </w:p>
    <w:p>
      <w:pPr>
        <w:pStyle w:val="Heading2"/>
      </w:pPr>
      <w:r>
        <w:t>当前人工核验流程</w:t>
      </w:r>
    </w:p>
    <w:p>
      <w:pPr>
        <w:ind w:left="216"/>
      </w:pPr>
      <w:r>
        <w:t>1. 用户选择目标账号、关键词和内容类型。</w:t>
      </w:r>
    </w:p>
    <w:p>
      <w:pPr>
        <w:ind w:left="216"/>
      </w:pPr>
      <w:r>
        <w:t>2. 在指定手机上查看搜索结果。</w:t>
      </w:r>
    </w:p>
    <w:p>
      <w:pPr>
        <w:ind w:left="216"/>
      </w:pPr>
      <w:r>
        <w:t>3. 记录候选内容的作者、发布时间、截图及可取得的链接。</w:t>
      </w:r>
    </w:p>
    <w:p>
      <w:pPr>
        <w:ind w:left="216"/>
      </w:pPr>
      <w:r>
        <w:t>4. 打开作者主页核对账号；不确定时标记为待确认。</w:t>
      </w:r>
    </w:p>
    <w:p>
      <w:pPr>
        <w:ind w:left="216"/>
      </w:pPr>
      <w:r>
        <w:t>5. 将核验结果展示并保存到管理程序。</w:t>
      </w:r>
    </w:p>
    <w:p>
      <w:pPr>
        <w:ind w:left="216"/>
      </w:pPr>
      <w:r>
        <w:t>6. 保存查看与核验记录，下次避免重复处理同一内容。</w:t>
      </w:r>
    </w:p>
    <w:p>
      <w:r>
        <w:t>当前任务完成表示人工核验完成。自动搜索、身份识别、随机参数配置及互动执行尚未实现。</w:t>
      </w:r>
    </w:p>
    <w:p>
      <w:pPr>
        <w:pStyle w:val="Heading1"/>
      </w:pPr>
      <w:r>
        <w:t>4 身份核验与异常处理</w:t>
      </w:r>
    </w:p>
    <w:p>
      <w:pPr>
        <w:pStyle w:val="Heading2"/>
      </w:pPr>
      <w:r>
        <w:t>识别规则与待确认事项</w:t>
      </w:r>
    </w:p>
    <w:p>
      <w:pPr>
        <w:pStyle w:val="ListBullet"/>
      </w:pPr>
      <w:r>
        <w:t>昵称和头像仅作辅助：存在同名、换头像造成误判的情况，首次绑定建议补充抖音号或主页链接。</w:t>
      </w:r>
    </w:p>
    <w:p>
      <w:pPr>
        <w:pStyle w:val="ListBullet"/>
      </w:pPr>
      <w:r>
        <w:t>手机连接成功与登录账号确认是两件事，设备身份和账号身份应分别记录。</w:t>
      </w:r>
    </w:p>
    <w:p>
      <w:pPr>
        <w:pStyle w:val="ListBullet"/>
      </w:pPr>
      <w:r>
        <w:t>换号后需要重新确认手机与账号的绑定关系。</w:t>
      </w:r>
    </w:p>
    <w:p>
      <w:pPr>
        <w:pStyle w:val="ListBullet"/>
      </w:pPr>
      <w:r>
        <w:t>只有名称或头像时，建议先保存为待确认记录，不能直接视为已核验。</w:t>
      </w:r>
    </w:p>
    <w:p>
      <w:pPr>
        <w:pStyle w:val="ListBullet"/>
      </w:pPr>
      <w:r>
        <w:t>搜索结果中最新的内容，未必等于目标账号实际最新作品。需明确查找的是关键词相关最新内容，还是该账号的最新内容。</w:t>
      </w:r>
    </w:p>
    <w:p>
      <w:pPr>
        <w:pStyle w:val="ListBullet"/>
      </w:pPr>
      <w:r>
        <w:t>没有找到与无法判断应分开记录，不能都显示为失败。</w:t>
      </w:r>
    </w:p>
    <w:p>
      <w:pPr>
        <w:pStyle w:val="ListBullet"/>
      </w:pPr>
      <w:r>
        <w:t>同一作品需要去重；标题相同不代表作品相同，建议优先使用可取得的链接或作品标识。</w:t>
      </w:r>
    </w:p>
    <w:p>
      <w:pPr>
        <w:pStyle w:val="Heading2"/>
      </w:pPr>
      <w:r>
        <w:t>异常处理设计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96"/>
        <w:gridCol w:w="6840"/>
      </w:tblGrid>
      <w:tr>
        <w:trPr>
          <w:tblHeader/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pPr>
              <w:spacing w:after="60" w:line="276" w:lineRule="auto"/>
              <w:jc w:val="left"/>
            </w:pPr>
            <w:r>
              <w:rPr>
                <w:b/>
                <w:sz w:val="21"/>
              </w:rPr>
              <w:t>情况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4EDF4"/>
          </w:tcPr>
          <w:p>
            <w:r>
              <w:rPr>
                <w:b/>
              </w:rPr>
              <w:t>处理方式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手机断开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暂停对应设备，保留已完成记录。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登录失效或出现验证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提示用户人工处理。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当前账号与绑定账号不同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停止该设备任务，要求重新确认。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页面加载失败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有限重试；仍失败则保存截图。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页面结构变化或识别不确定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停止当前步骤并报告。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  <w:jc w:val="left"/>
            </w:pPr>
            <w:r>
              <w:rPr>
                <w:b w:val="0"/>
                <w:sz w:val="21"/>
              </w:rPr>
              <w:t>用户点击停止</w:t>
            </w:r>
          </w:p>
        </w:tc>
        <w:tc>
          <w:tcPr>
            <w:tcW w:type="dxa" w:w="68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line="276" w:lineRule="auto"/>
            </w:pPr>
            <w:r>
              <w:rPr>
                <w:b w:val="0"/>
                <w:sz w:val="21"/>
              </w:rPr>
              <w:t>不再开始新操作，显示当前状态。</w:t>
            </w:r>
          </w:p>
        </w:tc>
      </w:tr>
    </w:tbl>
    <w:p>
      <w:pPr>
        <w:spacing w:after="40" w:line="40" w:lineRule="exact"/>
      </w:pPr>
    </w:p>
    <w:p>
      <w:pPr>
        <w:pStyle w:val="Heading2"/>
      </w:pPr>
      <w:r>
        <w:t>接入验证顺序</w:t>
      </w:r>
    </w:p>
    <w:p>
      <w:r>
        <w:t>先验证单台设备连接与读取，再验证两台独立运行和同设备互斥，最后扩展至目标设备数量。实机验证尚未开始。</w:t>
      </w:r>
    </w:p>
    <w:p>
      <w:r>
        <w:t>多设备连接能力与并发效果需在实际影刀版本、套餐和用户环境中验证。</w:t>
      </w:r>
    </w:p>
    <w:p>
      <w:pPr>
        <w:pStyle w:val="Heading1"/>
      </w:pPr>
      <w:r>
        <w:t>5 接入所需材料</w:t>
      </w:r>
    </w:p>
    <w:p>
      <w:pPr>
        <w:pStyle w:val="Heading2"/>
      </w:pPr>
      <w:r>
        <w:t>环境信息</w:t>
      </w:r>
    </w:p>
    <w:p>
      <w:pPr>
        <w:pStyle w:val="ListBullet"/>
        <w:spacing w:after="80" w:line="340" w:lineRule="exact"/>
      </w:pPr>
      <w:r>
        <w:t>电脑：Windows 版本、CPU、内存。</w:t>
      </w:r>
    </w:p>
    <w:p>
      <w:pPr>
        <w:pStyle w:val="ListBullet"/>
        <w:spacing w:after="80" w:line="340" w:lineRule="exact"/>
      </w:pPr>
      <w:r>
        <w:t>影刀：版本号、账号版本或套餐，以及是否能看到手机自动化和连接手机指令。</w:t>
      </w:r>
    </w:p>
    <w:p>
      <w:pPr>
        <w:pStyle w:val="ListBullet"/>
        <w:spacing w:after="80" w:line="340" w:lineRule="exact"/>
      </w:pPr>
      <w:r>
        <w:t>手机：实际数量、型号、安卓版本、抖音版本，是否全部为安卓。</w:t>
      </w:r>
    </w:p>
    <w:p>
      <w:pPr>
        <w:pStyle w:val="ListBullet"/>
        <w:spacing w:after="80" w:line="340" w:lineRule="exact"/>
      </w:pPr>
      <w:r>
        <w:t>连接：准备使用 USB 还是无线，目前是否已有一台手机被影刀识别。</w:t>
      </w:r>
    </w:p>
    <w:p>
      <w:pPr>
        <w:pStyle w:val="ListBullet"/>
        <w:spacing w:after="80" w:line="340" w:lineRule="exact"/>
      </w:pPr>
      <w:r>
        <w:t>本地 AI：使用的工具，能否读取文件、执行命令、运行项目、查看截图。</w:t>
      </w:r>
    </w:p>
    <w:p>
      <w:pPr>
        <w:pStyle w:val="ListBullet"/>
        <w:spacing w:after="80" w:line="340" w:lineRule="exact"/>
      </w:pPr>
      <w:r>
        <w:t>项目目录：D:\备份文件\项目库\抖音自动发布工具 的现有目录结构，只需列出文件名。</w:t>
      </w:r>
    </w:p>
    <w:p>
      <w:pPr>
        <w:pStyle w:val="ListBullet"/>
        <w:spacing w:after="80" w:line="340" w:lineRule="exact"/>
      </w:pPr>
      <w:r>
        <w:t>截图：影刀主界面、手机自动化指令列表。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Noto Sans CJK SC" w:hAnsi="Noto Sans CJK SC" w:eastAsia="Noto Sans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 w:line="264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 w:line="264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64" w:lineRule="auto" w:after="120"/>
    </w:pPr>
    <w:rPr>
      <w:rFonts w:asciiTheme="majorHAnsi" w:eastAsiaTheme="majorEastAsia" w:hAnsiTheme="majorHAnsi" w:cstheme="majorBidi" w:ascii="Noto Sans CJK SC" w:hAnsi="Noto Sans CJK SC" w:eastAsia="Noto Sans CJK SC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64" w:lineRule="auto" w:after="120"/>
      <w:contextualSpacing/>
    </w:pPr>
    <w:rPr>
      <w:rFonts w:ascii="Noto Sans CJK SC" w:hAnsi="Noto Sans CJK SC" w:eastAsia="Noto Sans CJK S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64" w:lineRule="auto" w:after="120"/>
      <w:contextualSpacing/>
    </w:pPr>
    <w:rPr>
      <w:rFonts w:ascii="Noto Sans CJK SC" w:hAnsi="Noto Sans CJK SC" w:eastAsia="Noto Sans CJK SC"/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影刀多手机项目需求与开发交接文档</dc:title>
  <dc:subject>现有条件 原始需求 原会话建议 待确认事项与进度</dc:subject>
  <dc:creator/>
  <cp:keywords/>
  <dc:description>文档修订1.4：需求、架构、实现状态、接入材料。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