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AI生产排产副驾商业计划书</w:t>
      </w:r>
    </w:p>
    <w:p>
      <w:pPr>
        <w:spacing w:before="280"/>
        <w:jc w:val="center"/>
      </w:pPr>
      <w:r>
        <w:rPr>
          <w:color w:val="173F5F"/>
          <w:sz w:val="32"/>
        </w:rPr>
        <w:t>面向中小制造车间的可解释、可审批、可审计生产决策平台</w:t>
      </w:r>
    </w:p>
    <w:p>
      <w:pPr>
        <w:spacing w:after="1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19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项目概览</w:t>
            </w:r>
          </w:p>
        </w:tc>
        <w:tc>
          <w:tcPr>
            <w:tcW w:type="dxa" w:w="712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产品名称</w:t>
            </w:r>
          </w:p>
        </w:tc>
        <w:tc>
          <w:tcPr>
            <w:tcW w:type="dxa" w:w="71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AI生产排产副驾（Production Planning Copilot）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目标客户</w:t>
            </w:r>
          </w:p>
        </w:tc>
        <w:tc>
          <w:tcPr>
            <w:tcW w:type="dxa" w:w="712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以离散制造为主、仍依赖 Excel 与经验排产的中小制造企业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核心价值</w:t>
            </w:r>
          </w:p>
        </w:tc>
        <w:tc>
          <w:tcPr>
            <w:tcW w:type="dxa" w:w="71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缩短重排响应、降低交付风险，并建立可复核的排产决策链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文档用途</w:t>
            </w:r>
          </w:p>
        </w:tc>
        <w:tc>
          <w:tcPr>
            <w:tcW w:type="dxa" w:w="712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Hackathon 项目路演、客户试点沟通与早期商业化讨论</w:t>
            </w:r>
          </w:p>
        </w:tc>
      </w:tr>
    </w:tbl>
    <w:p>
      <w:pPr>
        <w:spacing w:after="40"/>
      </w:pPr>
    </w:p>
    <w:p>
      <w:pPr>
        <w:jc w:val="center"/>
      </w:pPr>
      <w:r>
        <w:br/>
        <w:t>版本：V1.0  |  日期：2026年9月</w:t>
      </w:r>
    </w:p>
    <w:p>
      <w:r>
        <w:br w:type="page"/>
      </w:r>
    </w:p>
    <w:p>
      <w:pPr>
        <w:pStyle w:val="Heading1"/>
      </w:pPr>
      <w:r>
        <w:t>执行摘要</w:t>
      </w:r>
    </w:p>
    <w:p>
      <w:pPr>
        <w:spacing w:after="140" w:line="300" w:lineRule="auto"/>
      </w:pPr>
      <w:r>
        <w:t>我们建议将本项目定位为中小制造企业的生产规划副驾：它不取代计划员，也不把大语言模型当成排产权威；而是把订单、物料、设备和人员汇入同一生产快照，由确定性内核生成可行方案，并让计划员在清晰的证据与审批闸门下完成最终决策。</w:t>
      </w:r>
    </w:p>
    <w:p>
      <w:pPr>
        <w:spacing w:after="140" w:line="300" w:lineRule="auto"/>
      </w:pPr>
      <w:r>
        <w:t>客户购买的不是“会聊天的 AI”，而是一条从数据导入、约束校验、影响推演、人工审批到可追溯复盘的决策闭环。该闭环尤其适合订单波动、物料短缺、设备停机和人员约束频繁出现，但数字化预算与 IT 人力有限的制造现场。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97"/>
        <w:gridCol w:w="4997"/>
      </w:tblGrid>
      <w:tr>
        <w:tc>
          <w:tcPr>
            <w:tcW w:type="dxa" w:w="208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商业命题</w:t>
            </w:r>
          </w:p>
        </w:tc>
        <w:tc>
          <w:tcPr>
            <w:tcW w:type="dxa" w:w="698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痛点</w:t>
            </w:r>
          </w:p>
        </w:tc>
        <w:tc>
          <w:tcPr>
            <w:tcW w:type="dxa" w:w="69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手工 Excel 排产耗时、异常重排慢、知识依赖个人且决策难以复盘。</w:t>
            </w:r>
          </w:p>
        </w:tc>
      </w:tr>
      <w:tr>
        <w:tc>
          <w:tcPr>
            <w:tcW w:type="dxa" w:w="208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解决方案</w:t>
            </w:r>
          </w:p>
        </w:tc>
        <w:tc>
          <w:tcPr>
            <w:tcW w:type="dxa" w:w="698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用确定性排产与约束校验保证可靠性，用 AI 辅助理解脏数据、自然语言场景和解释叙述。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采用路径</w:t>
            </w:r>
          </w:p>
        </w:tc>
        <w:tc>
          <w:tcPr>
            <w:tcW w:type="dxa" w:w="69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以单车间试点切入，先证明响应效率、可排产透明度与计划员采纳，再扩展 ERP/MES 集成和多场景模块。</w:t>
            </w:r>
          </w:p>
        </w:tc>
      </w:tr>
      <w:tr>
        <w:tc>
          <w:tcPr>
            <w:tcW w:type="dxa" w:w="208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商业模式</w:t>
            </w:r>
          </w:p>
        </w:tc>
        <w:tc>
          <w:tcPr>
            <w:tcW w:type="dxa" w:w="698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实施服务 + 订阅许可；按站点、计划员席位和集成复杂度分层报价。</w:t>
            </w:r>
          </w:p>
        </w:tc>
      </w:tr>
    </w:tbl>
    <w:p>
      <w:pPr>
        <w:spacing w:after="40"/>
      </w:pPr>
    </w:p>
    <w:p>
      <w:pPr>
        <w:pStyle w:val="Heading1"/>
      </w:pPr>
      <w:r>
        <w:t>1 业务问题与目标客户</w:t>
      </w:r>
    </w:p>
    <w:p>
      <w:pPr>
        <w:spacing w:after="140" w:line="300" w:lineRule="auto"/>
      </w:pPr>
      <w:r>
        <w:t>在大量中小制造车间，计划员每天需要在订单交期、库存、设备能力、工人技能和换型成本之间做取舍。信息通常散落在 Excel、纸质记录或个人经验中。一旦出现插单、缺料或设备停机，原计划需要重新计算，而车间在等待期间缺少统一、可信的答案。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2016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目标客户画像</w:t>
            </w:r>
          </w:p>
        </w:tc>
        <w:tc>
          <w:tcPr>
            <w:tcW w:type="dxa" w:w="388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典型特征</w:t>
            </w:r>
          </w:p>
        </w:tc>
        <w:tc>
          <w:tcPr>
            <w:tcW w:type="dxa" w:w="316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优先切入理由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离散制造 SME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多品种、小批量；订单与资源约束频繁变化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排产复杂度已超过表格，但尚未具备昂贵 APS 的实施条件</w:t>
            </w:r>
          </w:p>
        </w:tc>
      </w:tr>
      <w:tr>
        <w:tc>
          <w:tcPr>
            <w:tcW w:type="dxa" w:w="20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生产计划负责人</w:t>
            </w:r>
          </w:p>
        </w:tc>
        <w:tc>
          <w:tcPr>
            <w:tcW w:type="dxa" w:w="388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承担交付、产能协调与异常响应</w:t>
            </w:r>
          </w:p>
        </w:tc>
        <w:tc>
          <w:tcPr>
            <w:tcW w:type="dxa" w:w="316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是直接使用者与采购倡导者，需要可解释、可修改的建议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工厂经营者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关注准交、库存占用和人员效率</w:t>
            </w:r>
          </w:p>
        </w:tc>
        <w:tc>
          <w:tcPr>
            <w:tcW w:type="dxa" w:w="316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需要可量化、可审计的业务价值，而非黑箱算法</w:t>
            </w:r>
          </w:p>
        </w:tc>
      </w:tr>
      <w:tr>
        <w:tc>
          <w:tcPr>
            <w:tcW w:type="dxa" w:w="20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IT/数字化负责人</w:t>
            </w:r>
          </w:p>
        </w:tc>
        <w:tc>
          <w:tcPr>
            <w:tcW w:type="dxa" w:w="388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维护成本敏感，需兼容既有数据流程</w:t>
            </w:r>
          </w:p>
        </w:tc>
        <w:tc>
          <w:tcPr>
            <w:tcW w:type="dxa" w:w="316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可先以 CSV/XLSX 接入，再逐步连接 ERP/MES</w:t>
            </w:r>
          </w:p>
        </w:tc>
      </w:tr>
    </w:tbl>
    <w:p>
      <w:pPr>
        <w:spacing w:after="40"/>
      </w:pPr>
    </w:p>
    <w:p>
      <w:pPr>
        <w:pStyle w:val="Heading1"/>
      </w:pPr>
      <w:r>
        <w:t>2 产品方案与差异化</w:t>
      </w:r>
    </w:p>
    <w:p>
      <w:pPr>
        <w:spacing w:after="140" w:line="300" w:lineRule="auto"/>
      </w:pPr>
      <w:r>
        <w:t>产品以“建议与执行分离”为基本原则。排产、硬约束、评分、基线对比与沙箱计算均由确定性 Python 内核完成；AI 仅服务于表格映射、自然语言场景翻译、解释、风险叙述及受控编排，输出会经过结构化校验。正式计划必须经人工审批后才会生效。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9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能力模块</w:t>
            </w:r>
          </w:p>
        </w:tc>
        <w:tc>
          <w:tcPr>
            <w:tcW w:type="dxa" w:w="3816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客户得到的结果</w:t>
            </w:r>
          </w:p>
        </w:tc>
        <w:tc>
          <w:tcPr>
            <w:tcW w:type="dxa" w:w="331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当前项目依据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生产快照与排产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订单、物料、机器、人员统一进入排产；输出甘特图与部分可行计划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Dashboard、Schedule 与确定性排产内核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约束透明化</w:t>
            </w:r>
          </w:p>
        </w:tc>
        <w:tc>
          <w:tcPr>
            <w:tcW w:type="dxa" w:w="38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每项不可排产作业给出阻塞原因和解锁建议</w:t>
            </w:r>
          </w:p>
        </w:tc>
        <w:tc>
          <w:tcPr>
            <w:tcW w:type="dxa" w:w="33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硬约束校验、PARTIAL 计划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What-if 沙箱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在不改动正式计划的前提下模拟停机、缺料等影响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Scenario Sandbox 与计划对比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人工审批与审计</w:t>
            </w:r>
          </w:p>
        </w:tc>
        <w:tc>
          <w:tcPr>
            <w:tcW w:type="dxa" w:w="38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审批前重校验输入与约束，保留方案、操作与工具调用轨迹</w:t>
            </w:r>
          </w:p>
        </w:tc>
        <w:tc>
          <w:tcPr>
            <w:tcW w:type="dxa" w:w="33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Approval、Trace 与 Audit Log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价值与风险视图</w:t>
            </w:r>
          </w:p>
        </w:tc>
        <w:tc>
          <w:tcPr>
            <w:tcW w:type="dxa" w:w="38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同口径对比 FCFS 基线，展示风险、瓶颈、KPI 与成本口径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Value Ledger、Risks、Insights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t>差异化不在于单点“自动排程”，而在于让计划员敢于使用：系统既说明“为什么这样排”，也诚实说明“为什么不能排”；既允许推演，也将执行权保留给人；既展示预测，也区分实测与预测。</w:t>
      </w:r>
    </w:p>
    <w:p>
      <w:pPr>
        <w:pStyle w:val="Heading1"/>
      </w:pPr>
      <w:r>
        <w:t>3 客户价值与试点假设</w:t>
      </w:r>
    </w:p>
    <w:p>
      <w:pPr>
        <w:spacing w:after="140" w:line="300" w:lineRule="auto"/>
      </w:pPr>
      <w:r>
        <w:t>本项目将价值验证设计成可衡量的试点，而非预先承诺固定收益。基线应使用客户现行排产方式或系统内置 FCFS 同输入对比；试点结束后，由客户与项目团队共同确认口径。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9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验证维度</w:t>
            </w:r>
          </w:p>
        </w:tc>
        <w:tc>
          <w:tcPr>
            <w:tcW w:type="dxa" w:w="338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建议指标</w:t>
            </w:r>
          </w:p>
        </w:tc>
        <w:tc>
          <w:tcPr>
            <w:tcW w:type="dxa" w:w="37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试点验证方法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响应效率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异常发生到提交可审阅方案的时间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记录设备停机、缺料、插单等场景的处理时长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交付风险</w:t>
            </w:r>
          </w:p>
        </w:tc>
        <w:tc>
          <w:tcPr>
            <w:tcW w:type="dxa" w:w="338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迟交订单数、拖期分钟、零裕度订单</w:t>
            </w:r>
          </w:p>
        </w:tc>
        <w:tc>
          <w:tcPr>
            <w:tcW w:type="dxa" w:w="37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与客户历史计划或 FCFS 基线在同一输入下比较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计划透明度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不可排产项是否有明确原因与责任动作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抽样审核阻塞原因、解锁建议和审批记录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计划员采纳</w:t>
            </w:r>
          </w:p>
        </w:tc>
        <w:tc>
          <w:tcPr>
            <w:tcW w:type="dxa" w:w="338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建议采纳率、修改原因、人工步骤节省</w:t>
            </w:r>
          </w:p>
        </w:tc>
        <w:tc>
          <w:tcPr>
            <w:tcW w:type="dxa" w:w="37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在审批与偏好规则中记录真实决策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治理可信度</w:t>
            </w:r>
          </w:p>
        </w:tc>
        <w:tc>
          <w:tcPr>
            <w:tcW w:type="dxa" w:w="338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输入来源、版本、审批与运行轨迹完整性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检查 Trace、审计日志与导入批次记录</w:t>
            </w:r>
          </w:p>
        </w:tc>
      </w:tr>
    </w:tbl>
    <w:p>
      <w:pPr>
        <w:spacing w:after="40"/>
      </w:pPr>
    </w:p>
    <w:p>
      <w:pPr>
        <w:pStyle w:val="Heading1"/>
      </w:pPr>
      <w:r>
        <w:t>4 商业模式与定价建议</w:t>
      </w:r>
    </w:p>
    <w:p>
      <w:pPr>
        <w:spacing w:after="140" w:line="300" w:lineRule="auto"/>
      </w:pPr>
      <w:r>
        <w:t>建议采用“低门槛试点 + 订阅扩展”的销售路径。下列价格为早期商业化的建议区间，需依据行业、集成范围、交付成本和客户支付意愿验证，不应视作既定报价。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产品包</w:t>
            </w:r>
          </w:p>
        </w:tc>
        <w:tc>
          <w:tcPr>
            <w:tcW w:type="dxa" w:w="223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适用范围</w:t>
            </w:r>
          </w:p>
        </w:tc>
        <w:tc>
          <w:tcPr>
            <w:tcW w:type="dxa" w:w="259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建议定价方式</w:t>
            </w:r>
          </w:p>
        </w:tc>
        <w:tc>
          <w:tcPr>
            <w:tcW w:type="dxa" w:w="244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包含内容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试点包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单车间、限定数据集、6-10周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一次性实施费，建议人民币 5-15 万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数据盘点、导入映射、场景演练、验收报告</w:t>
            </w:r>
          </w:p>
        </w:tc>
      </w:tr>
      <w:tr>
        <w:tc>
          <w:tcPr>
            <w:tcW w:type="dxa" w:w="180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基础订阅</w:t>
            </w:r>
          </w:p>
        </w:tc>
        <w:tc>
          <w:tcPr>
            <w:tcW w:type="dxa" w:w="223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单站点、核心计划团队</w:t>
            </w:r>
          </w:p>
        </w:tc>
        <w:tc>
          <w:tcPr>
            <w:tcW w:type="dxa" w:w="259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年费，建议人民币 12-30 万</w:t>
            </w:r>
          </w:p>
        </w:tc>
        <w:tc>
          <w:tcPr>
            <w:tcW w:type="dxa" w:w="244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排产、审批、What-if、风险与基础支持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专业订阅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多角色协同、定制指标与集成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年费 + 集成服务，建议人民币 30-80 万起</w:t>
            </w:r>
          </w:p>
        </w:tc>
        <w:tc>
          <w:tcPr>
            <w:tcW w:type="dxa" w:w="244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ERP/MES 接口、价值台账、权限与扩展支持</w:t>
            </w:r>
          </w:p>
        </w:tc>
      </w:tr>
      <w:tr>
        <w:tc>
          <w:tcPr>
            <w:tcW w:type="dxa" w:w="180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增值服务</w:t>
            </w:r>
          </w:p>
        </w:tc>
        <w:tc>
          <w:tcPr>
            <w:tcW w:type="dxa" w:w="223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复杂工艺或多工厂推广</w:t>
            </w:r>
          </w:p>
        </w:tc>
        <w:tc>
          <w:tcPr>
            <w:tcW w:type="dxa" w:w="259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按项目或人天报价</w:t>
            </w:r>
          </w:p>
        </w:tc>
        <w:tc>
          <w:tcPr>
            <w:tcW w:type="dxa" w:w="244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数据治理、模型接入、流程再设计、培训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t>收入结构上，实施服务负责覆盖早期数据接入与变更管理成本；订阅收入承接持续使用、产品迭代和客户成功服务。随着标准化导入、模板与接口沉淀，交付时间与边际支持成本应逐步下降。</w:t>
      </w:r>
    </w:p>
    <w:p>
      <w:pPr>
        <w:pStyle w:val="Heading1"/>
      </w:pPr>
      <w:r>
        <w:t>5 市场进入与销售策略</w:t>
      </w:r>
    </w:p>
    <w:p>
      <w:pPr>
        <w:spacing w:after="140" w:line="300" w:lineRule="auto"/>
      </w:pPr>
      <w:r>
        <w:t>早期不宜面向所有制造业泛化销售。应优先聚焦订单波动明显、工序不超过中等复杂度、已有电子表格数据、且管理层能参与试点复盘的离散制造场景，例如机加工、钣金、装配及定制零部件供应商。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800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08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52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关键动作</w:t>
            </w:r>
          </w:p>
        </w:tc>
        <w:tc>
          <w:tcPr>
            <w:tcW w:type="dxa" w:w="1656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成功信号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阶段一 试点验证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拿到 2-3 个设计合作客户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以真实异常场景跑通数据导入、排产、审批与复盘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客户认可指标口径并愿意提供推荐或续约意向</w:t>
            </w:r>
          </w:p>
        </w:tc>
      </w:tr>
      <w:tr>
        <w:tc>
          <w:tcPr>
            <w:tcW w:type="dxa" w:w="180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阶段二 可复制交付</w:t>
            </w:r>
          </w:p>
        </w:tc>
        <w:tc>
          <w:tcPr>
            <w:tcW w:type="dxa" w:w="208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形成行业模板与标准实施方法</w:t>
            </w:r>
          </w:p>
        </w:tc>
        <w:tc>
          <w:tcPr>
            <w:tcW w:type="dxa" w:w="352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沉淀数据字典、导入模板、培训包和验收清单</w:t>
            </w:r>
          </w:p>
        </w:tc>
        <w:tc>
          <w:tcPr>
            <w:tcW w:type="dxa" w:w="165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试点周期缩短，交付依赖个性化开发下降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阶段三 生态扩展</w:t>
            </w:r>
          </w:p>
        </w:tc>
        <w:tc>
          <w:tcPr>
            <w:tcW w:type="dxa" w:w="208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提升客单价与续费能力</w:t>
            </w:r>
          </w:p>
        </w:tc>
        <w:tc>
          <w:tcPr>
            <w:tcW w:type="dxa" w:w="35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连接 ERP/MES，拓展报价、风险治理与多站点协同</w:t>
            </w:r>
          </w:p>
        </w:tc>
        <w:tc>
          <w:tcPr>
            <w:tcW w:type="dxa" w:w="165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订阅收入占比提升，合作伙伴参与获客与交付</w:t>
            </w:r>
          </w:p>
        </w:tc>
      </w:tr>
    </w:tbl>
    <w:p>
      <w:pPr>
        <w:spacing w:after="40"/>
      </w:pPr>
    </w:p>
    <w:p>
      <w:pPr>
        <w:pStyle w:val="ListBullet"/>
        <w:spacing w:after="60"/>
      </w:pPr>
      <w:r>
        <w:t>获客路径：行业协会与园区、制造业数字化服务商、ERP/MES 集成商、标杆客户转介绍。</w:t>
      </w:r>
    </w:p>
    <w:p>
      <w:pPr>
        <w:pStyle w:val="ListBullet"/>
        <w:spacing w:after="60"/>
      </w:pPr>
      <w:r>
        <w:t>销售主线：用一个客户真实的停机或缺料场景展示“影响可见、计划不被误改、负责人可审批”。</w:t>
      </w:r>
    </w:p>
    <w:p>
      <w:pPr>
        <w:pStyle w:val="ListBullet"/>
        <w:spacing w:after="60"/>
      </w:pPr>
      <w:r>
        <w:t>采购主张：将项目包装为可控的运营改善试点，而非一次性大规模系统替换。</w:t>
      </w:r>
    </w:p>
    <w:p>
      <w:pPr>
        <w:pStyle w:val="Heading1"/>
      </w:pPr>
      <w:r>
        <w:t>6 技术可行性与信任设计</w:t>
      </w:r>
    </w:p>
    <w:p>
      <w:pPr>
        <w:spacing w:after="140" w:line="300" w:lineRule="auto"/>
      </w:pPr>
      <w:r>
        <w:t>系统采用 React/Vite 前端、FastAPI 服务层、受控 Agent 与工具闸门、纯 Python 排产内核和 SQLite 持久层的分层架构。部署可从单实例开始，后续保留向 PostgreSQL 等生产级组件迁移的路径。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87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风险点</w:t>
            </w:r>
          </w:p>
        </w:tc>
        <w:tc>
          <w:tcPr>
            <w:tcW w:type="dxa" w:w="4320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产品控制方式</w:t>
            </w:r>
          </w:p>
        </w:tc>
        <w:tc>
          <w:tcPr>
            <w:tcW w:type="dxa" w:w="280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商业意义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AI 输出不可靠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LLM 不拥有排产与约束判定权；结构化校验与确定性回退</w:t>
            </w:r>
          </w:p>
        </w:tc>
        <w:tc>
          <w:tcPr>
            <w:tcW w:type="dxa" w:w="280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降低客户对黑箱自动化的顾虑</w:t>
            </w:r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错误改动生产计划</w:t>
            </w:r>
          </w:p>
        </w:tc>
        <w:tc>
          <w:tcPr>
            <w:tcW w:type="dxa" w:w="432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沙箱只读推演；正式计划必须走服务端审批与重校验</w:t>
            </w:r>
          </w:p>
        </w:tc>
        <w:tc>
          <w:tcPr>
            <w:tcW w:type="dxa" w:w="280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适合高责任的车间决策流程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脏数据与提示注入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导入映射、歧义确认、不可信内容隔离、工具白名单</w:t>
            </w:r>
          </w:p>
        </w:tc>
        <w:tc>
          <w:tcPr>
            <w:tcW w:type="dxa" w:w="280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能从现实表格开始，而非要求完美主数据</w:t>
            </w:r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成本与可用性</w:t>
            </w:r>
          </w:p>
        </w:tc>
        <w:tc>
          <w:tcPr>
            <w:tcW w:type="dxa" w:w="432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token 预算、调用上限、REPLAY 与确定性降级模式</w:t>
            </w:r>
          </w:p>
        </w:tc>
        <w:tc>
          <w:tcPr>
            <w:tcW w:type="dxa" w:w="280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控制 AI 使用成本，模型不可用时核心仍可运行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决策无法复盘</w:t>
            </w:r>
          </w:p>
        </w:tc>
        <w:tc>
          <w:tcPr>
            <w:tcW w:type="dxa" w:w="432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Trace、不可篡改审计与价值台账</w:t>
            </w:r>
          </w:p>
        </w:tc>
        <w:tc>
          <w:tcPr>
            <w:tcW w:type="dxa" w:w="280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为客户内部管理与持续采购提供证据</w:t>
            </w:r>
          </w:p>
        </w:tc>
      </w:tr>
    </w:tbl>
    <w:p>
      <w:pPr>
        <w:spacing w:after="40"/>
      </w:pPr>
    </w:p>
    <w:p>
      <w:pPr>
        <w:pStyle w:val="Heading1"/>
      </w:pPr>
      <w:r>
        <w:t>7 实施路线与资源需求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498"/>
        <w:gridCol w:w="2498"/>
        <w:gridCol w:w="2498"/>
        <w:gridCol w:w="2498"/>
      </w:tblGrid>
      <w:tr>
        <w:tc>
          <w:tcPr>
            <w:tcW w:type="dxa" w:w="151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240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重点交付</w:t>
            </w:r>
          </w:p>
        </w:tc>
        <w:tc>
          <w:tcPr>
            <w:tcW w:type="dxa" w:w="223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客户投入</w:t>
            </w:r>
          </w:p>
        </w:tc>
        <w:tc>
          <w:tcPr>
            <w:tcW w:type="dxa" w:w="2016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项目团队投入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第1-2周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业务访谈、数据盘点、试点 KPI 与验收口径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计划、工艺、库存和设备数据负责人参与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解决方案负责人、数据实施人员</w:t>
            </w:r>
          </w:p>
        </w:tc>
      </w:tr>
      <w:tr>
        <w:tc>
          <w:tcPr>
            <w:tcW w:type="dxa" w:w="15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第3-4周</w:t>
            </w:r>
          </w:p>
        </w:tc>
        <w:tc>
          <w:tcPr>
            <w:tcW w:type="dxa" w:w="324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数据映射、种子场景与约束核验</w:t>
            </w:r>
          </w:p>
        </w:tc>
        <w:tc>
          <w:tcPr>
            <w:tcW w:type="dxa" w:w="223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提供样例表格并确认字段与异常处理规则</w:t>
            </w:r>
          </w:p>
        </w:tc>
        <w:tc>
          <w:tcPr>
            <w:tcW w:type="dxa" w:w="20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产品/工程团队配置导入与规则</w:t>
            </w:r>
          </w:p>
        </w:tc>
      </w:tr>
      <w:tr>
        <w:tc>
          <w:tcPr>
            <w:tcW w:type="dxa" w:w="15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第5-6周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排产、审批、What-if 与风险演练</w:t>
            </w:r>
          </w:p>
        </w:tc>
        <w:tc>
          <w:tcPr>
            <w:tcW w:type="dxa" w:w="223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计划员参与真实或回放场景验证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实施顾问、前后端与算法支持</w:t>
            </w:r>
          </w:p>
        </w:tc>
      </w:tr>
      <w:tr>
        <w:tc>
          <w:tcPr>
            <w:tcW w:type="dxa" w:w="15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第7-8周</w:t>
            </w:r>
          </w:p>
        </w:tc>
        <w:tc>
          <w:tcPr>
            <w:tcW w:type="dxa" w:w="3240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复盘、价值台账、推广决策</w:t>
            </w:r>
          </w:p>
        </w:tc>
        <w:tc>
          <w:tcPr>
            <w:tcW w:type="dxa" w:w="223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确认试点结果、续约与扩展范围</w:t>
            </w:r>
          </w:p>
        </w:tc>
        <w:tc>
          <w:tcPr>
            <w:tcW w:type="dxa" w:w="2016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客户成功与商业负责人</w:t>
            </w:r>
          </w:p>
        </w:tc>
      </w:tr>
    </w:tbl>
    <w:p>
      <w:pPr>
        <w:spacing w:after="40"/>
      </w:pPr>
    </w:p>
    <w:p>
      <w:pPr>
        <w:spacing w:after="140" w:line="300" w:lineRule="auto"/>
      </w:pPr>
      <w:r>
        <w:t>建议的最小商业化团队配置为：产品/行业负责人 1 名、全栈工程师 1-2 名、排产或制造领域顾问 1 名、客户成功/实施角色 1 名。早期重点不是扩大销售队伍，而是证明试点可复制，并把每次客户实施沉淀为可复用的模板。</w:t>
      </w:r>
    </w:p>
    <w:p>
      <w:pPr>
        <w:pStyle w:val="Heading1"/>
      </w:pPr>
      <w:r>
        <w:t>8 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9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商业风险</w:t>
            </w:r>
          </w:p>
        </w:tc>
        <w:tc>
          <w:tcPr>
            <w:tcW w:type="dxa" w:w="3312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可能影响</w:t>
            </w:r>
          </w:p>
        </w:tc>
        <w:tc>
          <w:tcPr>
            <w:tcW w:type="dxa" w:w="374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客户数据质量低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影响初始排产结果与信任建立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从 CSV/XLSX 映射与人工确认切入；先限定试点数据范围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实施过度定制</w:t>
            </w:r>
          </w:p>
        </w:tc>
        <w:tc>
          <w:tcPr>
            <w:tcW w:type="dxa" w:w="33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拉长交付周期，压低毛利</w:t>
            </w:r>
          </w:p>
        </w:tc>
        <w:tc>
          <w:tcPr>
            <w:tcW w:type="dxa" w:w="37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建立行业模板与变更边界；把集成作为单独服务项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价值难量化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采购决策和续约缺乏证据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在启动前冻结 KPI 口径，并使用同输入基线对比</w:t>
            </w:r>
          </w:p>
        </w:tc>
      </w:tr>
      <w:tr>
        <w:tc>
          <w:tcPr>
            <w:tcW w:type="dxa" w:w="19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现场不愿授权 AI</w:t>
            </w:r>
          </w:p>
        </w:tc>
        <w:tc>
          <w:tcPr>
            <w:tcW w:type="dxa" w:w="3312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采纳率低</w:t>
            </w:r>
          </w:p>
        </w:tc>
        <w:tc>
          <w:tcPr>
            <w:tcW w:type="dxa" w:w="374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强调副驾而非替代；保留审批闸门、可见证据和可关闭规则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产品能力边界被误解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承诺超出当前交付能力</w:t>
            </w:r>
          </w:p>
        </w:tc>
        <w:tc>
          <w:tcPr>
            <w:tcW w:type="dxa" w:w="374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销售材料明确区分当前页面能力、API 能力与路线图能力</w:t>
            </w:r>
          </w:p>
        </w:tc>
      </w:tr>
    </w:tbl>
    <w:p>
      <w:pPr>
        <w:spacing w:after="40"/>
      </w:pPr>
    </w:p>
    <w:p>
      <w:pPr>
        <w:pStyle w:val="Heading1"/>
      </w:pPr>
      <w:r>
        <w:t>9 未来12个月里程碑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72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时间窗口</w:t>
            </w:r>
          </w:p>
        </w:tc>
        <w:tc>
          <w:tcPr>
            <w:tcW w:type="dxa" w:w="4608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产品与商业目标</w:t>
            </w:r>
          </w:p>
        </w:tc>
        <w:tc>
          <w:tcPr>
            <w:tcW w:type="dxa" w:w="2664"/>
            <w:shd w:fill="173F5F"/>
            <w:vAlign w:val="center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0-3个月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完成产品化试点版本与首批设计合作客户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至少跑通一条真实数据到审批复盘的完整闭环</w:t>
            </w:r>
          </w:p>
        </w:tc>
      </w:tr>
      <w:tr>
        <w:tc>
          <w:tcPr>
            <w:tcW w:type="dxa" w:w="172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4-6个月</w:t>
            </w:r>
          </w:p>
        </w:tc>
        <w:tc>
          <w:tcPr>
            <w:tcW w:type="dxa" w:w="460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建立标准试点包、行业数据模板与报价方法</w:t>
            </w:r>
          </w:p>
        </w:tc>
        <w:tc>
          <w:tcPr>
            <w:tcW w:type="dxa" w:w="266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试点可在约 6-10 周完成，并形成可复用案例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7-9个月</w:t>
            </w:r>
          </w:p>
        </w:tc>
        <w:tc>
          <w:tcPr>
            <w:tcW w:type="dxa" w:w="4608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深化 ERP/MES 集成和价值台账；验证续约</w:t>
            </w:r>
          </w:p>
        </w:tc>
        <w:tc>
          <w:tcPr>
            <w:tcW w:type="dxa" w:w="2664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至少一个客户从试点进入订阅或扩展阶段</w:t>
            </w:r>
          </w:p>
        </w:tc>
      </w:tr>
      <w:tr>
        <w:tc>
          <w:tcPr>
            <w:tcW w:type="dxa" w:w="172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10-12个月</w:t>
            </w:r>
          </w:p>
        </w:tc>
        <w:tc>
          <w:tcPr>
            <w:tcW w:type="dxa" w:w="4608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形成垂直行业解决方案与伙伴渠道</w:t>
            </w:r>
          </w:p>
        </w:tc>
        <w:tc>
          <w:tcPr>
            <w:tcW w:type="dxa" w:w="2664"/>
            <w:shd w:fill="F6F8FA"/>
            <w:vAlign w:val="center"/>
          </w:tcPr>
          <w:p>
            <w:pPr>
              <w:spacing w:after="40" w:before="40"/>
            </w:pPr>
            <w:r/>
            <w:r>
              <w:rPr>
                <w:b w:val="0"/>
                <w:sz w:val="18"/>
              </w:rPr>
              <w:t>交付方法、接口与客户成功流程具备规模化基础</w:t>
            </w:r>
          </w:p>
        </w:tc>
      </w:tr>
    </w:tbl>
    <w:p>
      <w:pPr>
        <w:spacing w:after="40"/>
      </w:pPr>
    </w:p>
    <w:p>
      <w:pPr>
        <w:pStyle w:val="Heading1"/>
      </w:pPr>
      <w:r>
        <w:t>结论与合作请求</w:t>
      </w:r>
    </w:p>
    <w:p>
      <w:pPr>
        <w:spacing w:after="140" w:line="300" w:lineRule="auto"/>
      </w:pPr>
      <w:r>
        <w:t>AI生产排产副驾的商业机会，在于把制造现场最难被数字化的一段工作——跨订单、资源和异常的实时权衡——变成一个可信、可解释、可审批的流程。项目已经具备完整的演示闭环和清晰的技术边界，下一步应通过真实车间试点验证数据适配、价值口径与客户付费意愿。</w:t>
      </w:r>
    </w:p>
    <w:p>
      <w:pPr>
        <w:spacing w:after="140" w:line="300" w:lineRule="auto"/>
      </w:pPr>
      <w:r>
        <w:t>我们建议与首批设计合作客户共同启动单车间试点：选择一个包含设备停机、物料短缺或加急插单的高频场景，在既定 KPI 下验证方案响应速度、风险透明度、计划员采纳和治理证据。试点成功后，再按站点、模块和集成范围进入订阅与扩展合作。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AI生产排产副驾商业计划书  |  Hackathon 项目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30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AI生产排产副驾商业计划书</dc:title>
  <dc:subject>AI Production Planning Copilot business proposal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