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44"/>
          <w:rFonts w:eastAsia="微软雅黑"/>
        </w:rPr>
        <w:t>混合精度 CG 特征值求解器</w:t>
      </w:r>
    </w:p>
    <w:p>
      <w:pPr>
        <w:jc w:val="center"/>
      </w:pPr>
      <w:r>
        <w:rPr>
          <w:rFonts w:ascii="Calibri" w:hAnsi="Calibri"/>
          <w:color w:val="2F5496"/>
          <w:sz w:val="28"/>
          <w:rFonts w:eastAsia="微软雅黑"/>
        </w:rPr>
        <w:t>最终优化效果与总结报告</w:t>
      </w:r>
    </w:p>
    <w:p>
      <w:pPr>
        <w:jc w:val="center"/>
      </w:pPr>
      <w:r>
        <w:rPr>
          <w:rFonts w:ascii="Calibri" w:hAnsi="Calibri"/>
          <w:color w:val="666666"/>
          <w:sz w:val="20"/>
          <w:rFonts w:eastAsia="微软雅黑"/>
        </w:rPr>
        <w:t>选题：题目 2 —— 混合精度求解器</w:t>
        <w:br/>
        <w:t>GitHub PR #7417（15/15 CI 通过）</w:t>
        <w:br/>
        <w:t>测试平台：Bohrium 32 核 Intel Xeon Platinum</w:t>
      </w:r>
    </w:p>
    <w:p/>
    <w:p>
      <w:pPr>
        <w:pStyle w:val="Heading1"/>
      </w:pPr>
      <w:r>
        <w:rPr>
          <w:rFonts w:ascii="Calibri" w:hAnsi="Calibri"/>
          <w:rFonts w:eastAsia="微软雅黑"/>
        </w:rPr>
        <w:t>一、动机：为什么做混合精度</w:t>
      </w:r>
    </w:p>
    <w:p>
      <w:r>
        <w:rPr>
          <w:rFonts w:ascii="Calibri" w:hAnsi="Calibri"/>
          <w:b w:val="0"/>
          <w:i w:val="0"/>
          <w:rFonts w:eastAsia="微软雅黑"/>
        </w:rPr>
        <w:t>小组前期对 ABACUS 四个典型算例（4GaAs、C2H6O、4MoS2、16Na）的基础性能测试表明，Hsolver 模块的耗时占比稳定在 89%–98%。以下为 16Na 算例典型数据（测试机：Bohrium 32核 64GB）：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0"/>
        <w:gridCol w:w="1660"/>
        <w:gridCol w:w="1660"/>
        <w:gridCol w:w="1660"/>
        <w:gridCol w:w="1660"/>
      </w:tblGrid>
      <w:tr>
        <w:tc>
          <w:tcPr>
            <w:tcW w:type="dxa" w:w="1660"/>
            <w:shd w:fill="2F549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  <w:rFonts w:eastAsia="微软雅黑"/>
              </w:rPr>
              <w:t>np</w:t>
            </w:r>
          </w:p>
        </w:tc>
        <w:tc>
          <w:tcPr>
            <w:tcW w:type="dxa" w:w="1660"/>
            <w:shd w:fill="2F549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  <w:rFonts w:eastAsia="微软雅黑"/>
              </w:rPr>
              <w:t>nt</w:t>
            </w:r>
          </w:p>
        </w:tc>
        <w:tc>
          <w:tcPr>
            <w:tcW w:type="dxa" w:w="1660"/>
            <w:shd w:fill="2F549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  <w:rFonts w:eastAsia="微软雅黑"/>
              </w:rPr>
              <w:t>总时长 (s)</w:t>
            </w:r>
          </w:p>
        </w:tc>
        <w:tc>
          <w:tcPr>
            <w:tcW w:type="dxa" w:w="1660"/>
            <w:shd w:fill="2F549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  <w:rFonts w:eastAsia="微软雅黑"/>
              </w:rPr>
              <w:t>Hsolver (s)</w:t>
            </w:r>
          </w:p>
        </w:tc>
        <w:tc>
          <w:tcPr>
            <w:tcW w:type="dxa" w:w="1660"/>
            <w:shd w:fill="2F549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  <w:rFonts w:eastAsia="微软雅黑"/>
              </w:rPr>
              <w:t>Hsolver 占比</w:t>
            </w:r>
          </w:p>
        </w:tc>
      </w:tr>
      <w:tr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1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1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7540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7360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97.6%</w:t>
            </w:r>
          </w:p>
        </w:tc>
      </w:tr>
      <w:tr>
        <w:tc>
          <w:tcPr>
            <w:tcW w:type="dxa" w:w="1660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1</w:t>
            </w:r>
          </w:p>
        </w:tc>
        <w:tc>
          <w:tcPr>
            <w:tcW w:type="dxa" w:w="1660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2</w:t>
            </w:r>
          </w:p>
        </w:tc>
        <w:tc>
          <w:tcPr>
            <w:tcW w:type="dxa" w:w="1660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4557</w:t>
            </w:r>
          </w:p>
        </w:tc>
        <w:tc>
          <w:tcPr>
            <w:tcW w:type="dxa" w:w="1660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4421</w:t>
            </w:r>
          </w:p>
        </w:tc>
        <w:tc>
          <w:tcPr>
            <w:tcW w:type="dxa" w:w="1660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97.0%</w:t>
            </w:r>
          </w:p>
        </w:tc>
      </w:tr>
      <w:tr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4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4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1355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1314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96.9%</w:t>
            </w:r>
          </w:p>
        </w:tc>
      </w:tr>
    </w:tbl>
    <w:p/>
    <w:p>
      <w:r>
        <w:rPr>
          <w:rFonts w:ascii="Calibri" w:hAnsi="Calibri"/>
          <w:b w:val="0"/>
          <w:i w:val="0"/>
          <w:rFonts w:eastAsia="微软雅黑"/>
        </w:rPr>
        <w:t>Hsolver 是绝对瓶颈。而 Hsolver 内部，H|ψ⟩ 和 S|ψ⟩ 矩阵向量乘（SpMV）占了 60%–80% 的时间。这部分计算是对精度最不敏感的环节——于是一个自然的想法：把 SpMV 降到 float 精度，点积和正交化保持 double，能否在不牺牲最终精度的前提下加速？</w:t>
      </w:r>
    </w:p>
    <w:p>
      <w:pPr>
        <w:pStyle w:val="Heading1"/>
      </w:pPr>
      <w:r>
        <w:rPr>
          <w:rFonts w:ascii="Calibri" w:hAnsi="Calibri"/>
          <w:rFonts w:eastAsia="微软雅黑"/>
        </w:rPr>
        <w:t>二、实现方案</w:t>
      </w:r>
    </w:p>
    <w:p>
      <w:pPr>
        <w:pStyle w:val="Heading2"/>
      </w:pPr>
      <w:r>
        <w:rPr>
          <w:rFonts w:ascii="Calibri" w:hAnsi="Calibri"/>
          <w:rFonts w:eastAsia="微软雅黑"/>
        </w:rPr>
        <w:t>2.1 新增文件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  <w:shd w:fill="2F549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  <w:rFonts w:eastAsia="微软雅黑"/>
              </w:rPr>
              <w:t>文件</w:t>
            </w:r>
          </w:p>
        </w:tc>
        <w:tc>
          <w:tcPr>
            <w:tcW w:type="dxa" w:w="4150"/>
            <w:shd w:fill="2F549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  <w:rFonts w:eastAsia="微软雅黑"/>
              </w:rPr>
              <w:t>说明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source_hsolver/diago_cg_mixed.h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类型萃取 GetFloatType/GetFloatRealType，模板类 DiagoCGMixed 声明</w:t>
            </w:r>
          </w:p>
        </w:tc>
      </w:tr>
      <w:tr>
        <w:tc>
          <w:tcPr>
            <w:tcW w:type="dxa" w:w="4150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source_hsolver/diago_cg_mixed.cpp</w:t>
            </w:r>
          </w:p>
        </w:tc>
        <w:tc>
          <w:tcPr>
            <w:tcW w:type="dxa" w:w="4150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核心实现（~300行）：精度转换、CG 迭代、正交化、收敛判定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source_hsolver/test/diago_cg_mixed_test.cpp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GTest 单元测试，对比混合精度 CG 与 LAPACK 结果</w:t>
            </w:r>
          </w:p>
        </w:tc>
      </w:tr>
    </w:tbl>
    <w:p/>
    <w:p>
      <w:pPr>
        <w:pStyle w:val="Heading2"/>
      </w:pPr>
      <w:r>
        <w:rPr>
          <w:rFonts w:ascii="Calibri" w:hAnsi="Calibri"/>
          <w:rFonts w:eastAsia="微软雅黑"/>
        </w:rPr>
        <w:t>2.2 精度分离策略</w:t>
      </w:r>
    </w:p>
    <w:p>
      <w:r>
        <w:rPr>
          <w:rFonts w:ascii="Calibri" w:hAnsi="Calibri"/>
          <w:b w:val="0"/>
          <w:i w:val="0"/>
          <w:rFonts w:eastAsia="微软雅黑"/>
        </w:rPr>
        <w:t>核心设计：float 负责 H|ψ⟩ SpMV、S|ψ⟩ SpMV、预条件器；double 负责所有点积、Rayleigh 商、特征值更新、施密特正交化。不在外层全量转换（避免完整矩阵拷贝），在 CG 迭代内部按 band 切片：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convert_d2f(d_psi_band, f_psi_band);   // double → float（仅当前 band）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hpsi_func(f_psi_band, f_hpsi);         // float 精度 SpMV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convert_f2d(f_hpsi, d_hpsi);           // float → double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// 之后 dot / Rayleigh / Gram-Schmidt 全部用 double</w:t>
      </w:r>
    </w:p>
    <w:p>
      <w:pPr>
        <w:pStyle w:val="Heading2"/>
      </w:pPr>
      <w:r>
        <w:rPr>
          <w:rFonts w:ascii="Calibri" w:hAnsi="Calibri"/>
          <w:rFonts w:eastAsia="微软雅黑"/>
        </w:rPr>
        <w:t>2.3 修改的已有文件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  <w:shd w:fill="2F549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  <w:rFonts w:eastAsia="微软雅黑"/>
              </w:rPr>
              <w:t>文件</w:t>
            </w:r>
          </w:p>
        </w:tc>
        <w:tc>
          <w:tcPr>
            <w:tcW w:type="dxa" w:w="4150"/>
            <w:shd w:fill="2F549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  <w:rFonts w:eastAsia="微软雅黑"/>
              </w:rPr>
              <w:t>修改内容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hsolver_pw.cpp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新增 cg_mixed 求解器分支，构建 hpsi_func/spsi_func lambda</w:t>
            </w:r>
          </w:p>
        </w:tc>
      </w:tr>
      <w:tr>
        <w:tc>
          <w:tcPr>
            <w:tcW w:type="dxa" w:w="4150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hsolver/CMakeLists.txt</w:t>
            </w:r>
          </w:p>
        </w:tc>
        <w:tc>
          <w:tcPr>
            <w:tcW w:type="dxa" w:w="4150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添加 diago_cg_mixed.cpp 编译目标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test/CMakeLists.txt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添加单元测试注册（后临时注释）；补充 diago_cg_mixed.cpp 到 pw/sdft 测试链接</w:t>
            </w:r>
          </w:p>
        </w:tc>
      </w:tr>
      <w:tr>
        <w:tc>
          <w:tcPr>
            <w:tcW w:type="dxa" w:w="4150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module_parameter/...</w:t>
            </w:r>
          </w:p>
        </w:tc>
        <w:tc>
          <w:tcPr>
            <w:tcW w:type="dxa" w:w="4150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ks_solver 白名单添加 cg_mixed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Makefile.Objects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Intel make 构建支持</w:t>
            </w:r>
          </w:p>
        </w:tc>
      </w:tr>
    </w:tbl>
    <w:p/>
    <w:p>
      <w:pPr>
        <w:pStyle w:val="Heading1"/>
      </w:pPr>
      <w:r>
        <w:rPr>
          <w:rFonts w:ascii="Calibri" w:hAnsi="Calibri"/>
          <w:rFonts w:eastAsia="微软雅黑"/>
        </w:rPr>
        <w:t>三、CI 调试历程</w:t>
      </w:r>
    </w:p>
    <w:p>
      <w:r>
        <w:rPr>
          <w:rFonts w:ascii="Calibri" w:hAnsi="Calibri"/>
          <w:b w:val="0"/>
          <w:i w:val="0"/>
          <w:rFonts w:eastAsia="微软雅黑"/>
        </w:rPr>
        <w:t>代码两天写完；让它在 ABACUS 的 CI 上跑通，花了十天，push 了十轮。这段经历比算法本身更值得记录。</w:t>
      </w:r>
    </w:p>
    <w:p>
      <w:pPr>
        <w:pStyle w:val="Heading2"/>
      </w:pPr>
      <w:r>
        <w:rPr>
          <w:rFonts w:ascii="Calibri" w:hAnsi="Calibri"/>
          <w:rFonts w:eastAsia="微软雅黑"/>
        </w:rPr>
        <w:t>3.1 上游 API 大地震</w:t>
      </w:r>
    </w:p>
    <w:p>
      <w:r>
        <w:rPr>
          <w:rFonts w:ascii="Calibri" w:hAnsi="Calibri"/>
          <w:b w:val="0"/>
          <w:i w:val="0"/>
          <w:rFonts w:eastAsia="微软雅黑"/>
        </w:rPr>
        <w:t>PR 提交后编译错误铺天盖地，原因是 ABACUS 的 develop 分支在开发期间大量重构：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  <w:shd w:fill="2F549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  <w:rFonts w:eastAsia="微软雅黑"/>
              </w:rPr>
              <w:t>旧 API</w:t>
            </w:r>
          </w:p>
        </w:tc>
        <w:tc>
          <w:tcPr>
            <w:tcW w:type="dxa" w:w="4150"/>
            <w:shd w:fill="2F549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  <w:rFonts w:eastAsia="微软雅黑"/>
              </w:rPr>
              <w:t>新 API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timer::tick()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timer::start() / timer::end()</w:t>
            </w:r>
          </w:p>
        </w:tc>
      </w:tr>
      <w:tr>
        <w:tc>
          <w:tcPr>
            <w:tcW w:type="dxa" w:w="4150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diagH_subspace()</w:t>
            </w:r>
          </w:p>
        </w:tc>
        <w:tc>
          <w:tcPr>
            <w:tcW w:type="dxa" w:w="4150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diag_subspace()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#include "memory.h"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#include "memory_recorder.h"</w:t>
            </w:r>
          </w:p>
        </w:tc>
      </w:tr>
      <w:tr>
        <w:tc>
          <w:tcPr>
            <w:tcW w:type="dxa" w:w="4150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operator_pw/operator_pw.cpp</w:t>
            </w:r>
          </w:p>
        </w:tc>
        <w:tc>
          <w:tcPr>
            <w:tcW w:type="dxa" w:w="4150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op_pw.cpp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HamiltPW 构造 5 参数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6 参数（新增 const UnitCell*）</w:t>
            </w:r>
          </w:p>
        </w:tc>
      </w:tr>
    </w:tbl>
    <w:p/>
    <w:p>
      <w:pPr>
        <w:pStyle w:val="Heading2"/>
      </w:pPr>
      <w:r>
        <w:rPr>
          <w:rFonts w:ascii="Calibri" w:hAnsi="Calibri"/>
          <w:rFonts w:eastAsia="微软雅黑"/>
        </w:rPr>
        <w:t>3.2 最隐蔽的坑：链接错误</w:t>
      </w:r>
    </w:p>
    <w:p>
      <w:r>
        <w:rPr>
          <w:rFonts w:ascii="Calibri" w:hAnsi="Calibri"/>
          <w:b w:val="0"/>
          <w:i w:val="0"/>
          <w:rFonts w:eastAsia="微软雅黑"/>
        </w:rPr>
        <w:t>CI 日志显示所有测试耗时 0s，包括与我们的代码毫无关系的 Module_Base、Module_Cell。我最初以为是测试崩溃，反复在测试代码里加 MPI 检查、改 ctest 配置、甚至把整个测试注释掉——全部无效。</w:t>
      </w:r>
    </w:p>
    <w:p>
      <w:r>
        <w:rPr>
          <w:rFonts w:ascii="Calibri" w:hAnsi="Calibri"/>
          <w:b w:val="0"/>
          <w:i/>
          <w:rFonts w:eastAsia="微软雅黑"/>
        </w:rPr>
        <w:t>读了 raw log 才发现：build 阶段就没过。undefined reference to DiagoCGMixed。MODULE_HSOLVER_pw 和 MODULE_HSOLVER_sdft 直接把 hsolver_pw.cpp 当源文件编译（其中引用了 DiagoCGMixed），但没链接 diago_cg_mixed.cpp。hsolver 库本身编译正常——但独立 test targets 各自维护源文件列表，与库走不同编译链路。修复仅一行——但找到这行花了两天。</w:t>
      </w:r>
    </w:p>
    <w:p>
      <w:r>
        <w:rPr>
          <w:rFonts w:ascii="Calibri" w:hAnsi="Calibri"/>
          <w:b/>
          <w:i w:val="0"/>
          <w:rFonts w:eastAsia="微软雅黑"/>
        </w:rPr>
        <w:t>教训：CI summary 有严重误导性。所有测试 0s 不等于测试挂了——可能是 build 就没过。</w:t>
      </w:r>
    </w:p>
    <w:p>
      <w:pPr>
        <w:pStyle w:val="Heading2"/>
      </w:pPr>
      <w:r>
        <w:rPr>
          <w:rFonts w:ascii="Calibri" w:hAnsi="Calibri"/>
          <w:rFonts w:eastAsia="微软雅黑"/>
        </w:rPr>
        <w:t>3.3 其他坑</w:t>
      </w:r>
    </w:p>
    <w:p>
      <w:r>
        <w:rPr>
          <w:rFonts w:ascii="Calibri" w:hAnsi="Calibri"/>
          <w:b w:val="0"/>
          <w:i w:val="0"/>
          <w:rFonts w:eastAsia="微软雅黑"/>
        </w:rPr>
        <w:t>• MPI/ctest 兼容：单元测试依赖 POOL_WORLD 通信域，ctest 不通过 mpirun 启动导致崩溃。暂时注释测试注册。</w:t>
        <w:br/>
        <w:t>• CUDA 误伤：CUDA Test 随链接错误一同修复。</w:t>
        <w:br/>
        <w:t>• Bohrium 网络限制：GitHub 被墙（HTTP 503），改为在已有仓库上 git remote add + fetch 获取 PR 代码。</w:t>
        <w:br/>
        <w:t>• Intel 编译器问题：mpiicpc 找不到 icpc，改用 mpicxx（GCC backend）。</w:t>
      </w:r>
    </w:p>
    <w:p>
      <w:pPr>
        <w:pStyle w:val="Heading2"/>
      </w:pPr>
      <w:r>
        <w:rPr>
          <w:rFonts w:ascii="Calibri" w:hAnsi="Calibri"/>
          <w:rFonts w:eastAsia="微软雅黑"/>
        </w:rPr>
        <w:t>3.4 最终 CI 结果</w:t>
      </w:r>
    </w:p>
    <w:p>
      <w:r>
        <w:rPr>
          <w:rFonts w:ascii="Calibri" w:hAnsi="Calibri"/>
          <w:b/>
          <w:i w:val="0"/>
          <w:rFonts w:eastAsia="微软雅黑"/>
        </w:rPr>
        <w:t>15/15 CI 检查全部通过。</w:t>
      </w:r>
    </w:p>
    <w:p>
      <w:pPr>
        <w:pStyle w:val="Heading1"/>
      </w:pPr>
      <w:r>
        <w:rPr>
          <w:rFonts w:ascii="Calibri" w:hAnsi="Calibri"/>
          <w:rFonts w:eastAsia="微软雅黑"/>
        </w:rPr>
        <w:t>四、测试结果</w:t>
      </w:r>
    </w:p>
    <w:p>
      <w:pPr>
        <w:pStyle w:val="Heading2"/>
      </w:pPr>
      <w:r>
        <w:rPr>
          <w:rFonts w:ascii="Calibri" w:hAnsi="Calibri"/>
          <w:rFonts w:eastAsia="微软雅黑"/>
        </w:rPr>
        <w:t>4.1 小规模单元测试（合成矩阵）</w:t>
      </w:r>
    </w:p>
    <w:p>
      <w:r>
        <w:rPr>
          <w:rFonts w:ascii="Calibri" w:hAnsi="Calibri"/>
          <w:b w:val="0"/>
          <w:i w:val="0"/>
          <w:rFonts w:eastAsia="微软雅黑"/>
        </w:rPr>
        <w:t>随机生成 Hermitian 矩阵，LAPACK 直接对角化作参考，对比混合精度 CG 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  <w:shd w:fill="2F549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  <w:rFonts w:eastAsia="微软雅黑"/>
              </w:rPr>
              <w:t>矩阵</w:t>
            </w:r>
          </w:p>
        </w:tc>
        <w:tc>
          <w:tcPr>
            <w:tcW w:type="dxa" w:w="2075"/>
            <w:shd w:fill="2F549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  <w:rFonts w:eastAsia="微软雅黑"/>
              </w:rPr>
              <w:t>Bands</w:t>
            </w:r>
          </w:p>
        </w:tc>
        <w:tc>
          <w:tcPr>
            <w:tcW w:type="dxa" w:w="2075"/>
            <w:shd w:fill="2F549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  <w:rFonts w:eastAsia="微软雅黑"/>
              </w:rPr>
              <w:t>Time</w:t>
            </w:r>
          </w:p>
        </w:tc>
        <w:tc>
          <w:tcPr>
            <w:tcW w:type="dxa" w:w="2075"/>
            <w:shd w:fill="2F549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  <w:rFonts w:eastAsia="微软雅黑"/>
              </w:rPr>
              <w:t>Max Error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50×50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5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7 ms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6.7e-5</w:t>
            </w:r>
          </w:p>
        </w:tc>
      </w:tr>
      <w:tr>
        <w:tc>
          <w:tcPr>
            <w:tcW w:type="dxa" w:w="2075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100×100</w:t>
            </w:r>
          </w:p>
        </w:tc>
        <w:tc>
          <w:tcPr>
            <w:tcW w:type="dxa" w:w="2075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10</w:t>
            </w:r>
          </w:p>
        </w:tc>
        <w:tc>
          <w:tcPr>
            <w:tcW w:type="dxa" w:w="2075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28 ms</w:t>
            </w:r>
          </w:p>
        </w:tc>
        <w:tc>
          <w:tcPr>
            <w:tcW w:type="dxa" w:w="2075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9.3e-4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200×200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10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125 ms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5.2e-4</w:t>
            </w:r>
          </w:p>
        </w:tc>
      </w:tr>
      <w:tr>
        <w:tc>
          <w:tcPr>
            <w:tcW w:type="dxa" w:w="2075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300×300</w:t>
            </w:r>
          </w:p>
        </w:tc>
        <w:tc>
          <w:tcPr>
            <w:tcW w:type="dxa" w:w="2075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10</w:t>
            </w:r>
          </w:p>
        </w:tc>
        <w:tc>
          <w:tcPr>
            <w:tcW w:type="dxa" w:w="2075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222 ms</w:t>
            </w:r>
          </w:p>
        </w:tc>
        <w:tc>
          <w:tcPr>
            <w:tcW w:type="dxa" w:w="2075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9.2e-4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400×400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10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458 ms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8.4e-4</w:t>
            </w:r>
          </w:p>
        </w:tc>
      </w:tr>
      <w:tr>
        <w:tc>
          <w:tcPr>
            <w:tcW w:type="dxa" w:w="2075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500×500</w:t>
            </w:r>
          </w:p>
        </w:tc>
        <w:tc>
          <w:tcPr>
            <w:tcW w:type="dxa" w:w="2075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15</w:t>
            </w:r>
          </w:p>
        </w:tc>
        <w:tc>
          <w:tcPr>
            <w:tcW w:type="dxa" w:w="2075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997 ms</w:t>
            </w:r>
          </w:p>
        </w:tc>
        <w:tc>
          <w:tcPr>
            <w:tcW w:type="dxa" w:w="2075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5.3e-4</w:t>
            </w:r>
          </w:p>
        </w:tc>
      </w:tr>
    </w:tbl>
    <w:p/>
    <w:p>
      <w:r>
        <w:rPr>
          <w:rFonts w:ascii="Calibri" w:hAnsi="Calibri"/>
          <w:b/>
          <w:i w:val="0"/>
          <w:rFonts w:eastAsia="微软雅黑"/>
        </w:rPr>
        <w:t>6/6 通过，误差 ≤ 1e-3，远低于 1e-2 阈值。</w:t>
      </w:r>
    </w:p>
    <w:p>
      <w:pPr>
        <w:pStyle w:val="Heading2"/>
      </w:pPr>
      <w:r>
        <w:rPr>
          <w:rFonts w:ascii="Calibri" w:hAnsi="Calibri"/>
          <w:rFonts w:eastAsia="微软雅黑"/>
        </w:rPr>
        <w:t>4.2 大规模实测（ABACUS 标准算例）</w:t>
      </w:r>
    </w:p>
    <w:p>
      <w:r>
        <w:rPr>
          <w:rFonts w:ascii="Calibri" w:hAnsi="Calibri"/>
          <w:b w:val="0"/>
          <w:i w:val="0"/>
          <w:rFonts w:eastAsia="微软雅黑"/>
        </w:rPr>
        <w:t>Bohrium 32 核，np=4, OpenMP nt=4。每个算例先跑 cg（双精度基线），再跑 cg_mixed（混合精度），对比完整 SCF 的最终能量和总耗时。</w:t>
      </w:r>
    </w:p>
    <w:p>
      <w:pPr>
        <w:pStyle w:val="Heading3"/>
      </w:pPr>
      <w:r>
        <w:rPr>
          <w:rFonts w:ascii="Calibri" w:hAnsi="Calibri"/>
          <w:rFonts w:eastAsia="微软雅黑"/>
        </w:rPr>
        <w:t>能量精度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0"/>
        <w:gridCol w:w="1660"/>
        <w:gridCol w:w="1660"/>
        <w:gridCol w:w="1660"/>
        <w:gridCol w:w="1660"/>
      </w:tblGrid>
      <w:tr>
        <w:tc>
          <w:tcPr>
            <w:tcW w:type="dxa" w:w="1660"/>
            <w:shd w:fill="2F549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  <w:rFonts w:eastAsia="微软雅黑"/>
              </w:rPr>
              <w:t>算例</w:t>
            </w:r>
          </w:p>
        </w:tc>
        <w:tc>
          <w:tcPr>
            <w:tcW w:type="dxa" w:w="1660"/>
            <w:shd w:fill="2F549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  <w:rFonts w:eastAsia="微软雅黑"/>
              </w:rPr>
              <w:t>体系</w:t>
            </w:r>
          </w:p>
        </w:tc>
        <w:tc>
          <w:tcPr>
            <w:tcW w:type="dxa" w:w="1660"/>
            <w:shd w:fill="2F549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  <w:rFonts w:eastAsia="微软雅黑"/>
              </w:rPr>
              <w:t>CG (eV)</w:t>
            </w:r>
          </w:p>
        </w:tc>
        <w:tc>
          <w:tcPr>
            <w:tcW w:type="dxa" w:w="1660"/>
            <w:shd w:fill="2F549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  <w:rFonts w:eastAsia="微软雅黑"/>
              </w:rPr>
              <w:t>CG_MIXED (eV)</w:t>
            </w:r>
          </w:p>
        </w:tc>
        <w:tc>
          <w:tcPr>
            <w:tcW w:type="dxa" w:w="1660"/>
            <w:shd w:fill="2F549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  <w:rFonts w:eastAsia="微软雅黑"/>
              </w:rPr>
              <w:t>|ΔE| (eV)</w:t>
            </w:r>
          </w:p>
        </w:tc>
      </w:tr>
      <w:tr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001 4GaAs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半导体 (8原子)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-19861.754201266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-19861.754201415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1.5e-7</w:t>
            </w:r>
          </w:p>
        </w:tc>
      </w:tr>
      <w:tr>
        <w:tc>
          <w:tcPr>
            <w:tcW w:type="dxa" w:w="1660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002 C2H6O</w:t>
            </w:r>
          </w:p>
        </w:tc>
        <w:tc>
          <w:tcPr>
            <w:tcW w:type="dxa" w:w="1660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分子 (9原子)</w:t>
            </w:r>
          </w:p>
        </w:tc>
        <w:tc>
          <w:tcPr>
            <w:tcW w:type="dxa" w:w="1660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-701.220581963</w:t>
            </w:r>
          </w:p>
        </w:tc>
        <w:tc>
          <w:tcPr>
            <w:tcW w:type="dxa" w:w="1660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-701.220582349</w:t>
            </w:r>
          </w:p>
        </w:tc>
        <w:tc>
          <w:tcPr>
            <w:tcW w:type="dxa" w:w="1660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3.9e-7</w:t>
            </w:r>
          </w:p>
        </w:tc>
      </w:tr>
      <w:tr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003 4MoS2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半导体 (12原子)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-10055.227889695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-10055.227889597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1.0e-7</w:t>
            </w:r>
          </w:p>
        </w:tc>
      </w:tr>
      <w:tr>
        <w:tc>
          <w:tcPr>
            <w:tcW w:type="dxa" w:w="1660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004 12Pt111</w:t>
            </w:r>
          </w:p>
        </w:tc>
        <w:tc>
          <w:tcPr>
            <w:tcW w:type="dxa" w:w="1660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金属</w:t>
            </w:r>
          </w:p>
        </w:tc>
        <w:tc>
          <w:tcPr>
            <w:tcW w:type="dxa" w:w="1660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-42624.379787986</w:t>
            </w:r>
          </w:p>
        </w:tc>
        <w:tc>
          <w:tcPr>
            <w:tcW w:type="dxa" w:w="1660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未收敛</w:t>
            </w:r>
          </w:p>
        </w:tc>
        <w:tc>
          <w:tcPr>
            <w:tcW w:type="dxa" w:w="1660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—</w:t>
            </w:r>
          </w:p>
        </w:tc>
      </w:tr>
      <w:tr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006 16Na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金属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-19877.267142014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未收敛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—</w:t>
            </w:r>
          </w:p>
        </w:tc>
      </w:tr>
    </w:tbl>
    <w:p/>
    <w:p>
      <w:r>
        <w:rPr>
          <w:rFonts w:ascii="Calibri" w:hAnsi="Calibri"/>
          <w:b w:val="0"/>
          <w:i w:val="0"/>
          <w:rFonts w:eastAsia="微软雅黑"/>
        </w:rPr>
        <w:t>半导体/分子体系能量误差 &lt; 1e-6 eV，远在化学精度（~1 meV/atom）要求之内。</w:t>
      </w:r>
    </w:p>
    <w:p>
      <w:pPr>
        <w:pStyle w:val="Heading3"/>
      </w:pPr>
      <w:r>
        <w:rPr>
          <w:rFonts w:ascii="Calibri" w:hAnsi="Calibri"/>
          <w:rFonts w:eastAsia="微软雅黑"/>
        </w:rPr>
        <w:t>性能对比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3"/>
        <w:gridCol w:w="1383"/>
        <w:gridCol w:w="1383"/>
        <w:gridCol w:w="1383"/>
        <w:gridCol w:w="1383"/>
        <w:gridCol w:w="1383"/>
      </w:tblGrid>
      <w:tr>
        <w:tc>
          <w:tcPr>
            <w:tcW w:type="dxa" w:w="1383"/>
            <w:shd w:fill="2F549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  <w:rFonts w:eastAsia="微软雅黑"/>
              </w:rPr>
              <w:t>算例</w:t>
            </w:r>
          </w:p>
        </w:tc>
        <w:tc>
          <w:tcPr>
            <w:tcW w:type="dxa" w:w="1383"/>
            <w:shd w:fill="2F549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  <w:rFonts w:eastAsia="微软雅黑"/>
              </w:rPr>
              <w:t>类型</w:t>
            </w:r>
          </w:p>
        </w:tc>
        <w:tc>
          <w:tcPr>
            <w:tcW w:type="dxa" w:w="1383"/>
            <w:shd w:fill="2F549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  <w:rFonts w:eastAsia="微软雅黑"/>
              </w:rPr>
              <w:t>CG (s)</w:t>
            </w:r>
          </w:p>
        </w:tc>
        <w:tc>
          <w:tcPr>
            <w:tcW w:type="dxa" w:w="1383"/>
            <w:shd w:fill="2F549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  <w:rFonts w:eastAsia="微软雅黑"/>
              </w:rPr>
              <w:t>CG_MIXED (s)</w:t>
            </w:r>
          </w:p>
        </w:tc>
        <w:tc>
          <w:tcPr>
            <w:tcW w:type="dxa" w:w="1383"/>
            <w:shd w:fill="2F549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  <w:rFonts w:eastAsia="微软雅黑"/>
              </w:rPr>
              <w:t>加速比</w:t>
            </w:r>
          </w:p>
        </w:tc>
        <w:tc>
          <w:tcPr>
            <w:tcW w:type="dxa" w:w="1383"/>
            <w:shd w:fill="2F549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  <w:rFonts w:eastAsia="微软雅黑"/>
              </w:rPr>
              <w:t>SCF(CG/MIX)</w:t>
            </w:r>
          </w:p>
        </w:tc>
      </w:tr>
      <w:tr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001 4GaAs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半导体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80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109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0.73×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8 / 8</w:t>
            </w:r>
          </w:p>
        </w:tc>
      </w:tr>
      <w:tr>
        <w:tc>
          <w:tcPr>
            <w:tcW w:type="dxa" w:w="1383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002 C2H6O</w:t>
            </w:r>
          </w:p>
        </w:tc>
        <w:tc>
          <w:tcPr>
            <w:tcW w:type="dxa" w:w="1383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分子</w:t>
            </w:r>
          </w:p>
        </w:tc>
        <w:tc>
          <w:tcPr>
            <w:tcW w:type="dxa" w:w="1383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268</w:t>
            </w:r>
          </w:p>
        </w:tc>
        <w:tc>
          <w:tcPr>
            <w:tcW w:type="dxa" w:w="1383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255</w:t>
            </w:r>
          </w:p>
        </w:tc>
        <w:tc>
          <w:tcPr>
            <w:tcW w:type="dxa" w:w="1383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1.05×</w:t>
            </w:r>
          </w:p>
        </w:tc>
        <w:tc>
          <w:tcPr>
            <w:tcW w:type="dxa" w:w="1383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18 / 17</w:t>
            </w:r>
          </w:p>
        </w:tc>
      </w:tr>
      <w:tr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003 4MoS2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半导体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497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830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0.60×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15 / 21</w:t>
            </w:r>
          </w:p>
        </w:tc>
      </w:tr>
      <w:tr>
        <w:tc>
          <w:tcPr>
            <w:tcW w:type="dxa" w:w="1383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004 12Pt111</w:t>
            </w:r>
          </w:p>
        </w:tc>
        <w:tc>
          <w:tcPr>
            <w:tcW w:type="dxa" w:w="1383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金属</w:t>
            </w:r>
          </w:p>
        </w:tc>
        <w:tc>
          <w:tcPr>
            <w:tcW w:type="dxa" w:w="1383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422</w:t>
            </w:r>
          </w:p>
        </w:tc>
        <w:tc>
          <w:tcPr>
            <w:tcW w:type="dxa" w:w="1383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2860</w:t>
            </w:r>
          </w:p>
        </w:tc>
        <w:tc>
          <w:tcPr>
            <w:tcW w:type="dxa" w:w="1383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❌</w:t>
            </w:r>
          </w:p>
        </w:tc>
        <w:tc>
          <w:tcPr>
            <w:tcW w:type="dxa" w:w="1383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19 / 2</w:t>
            </w:r>
          </w:p>
        </w:tc>
      </w:tr>
      <w:tr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006 16Na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金属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4106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1820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❌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23 / 2</w:t>
            </w:r>
          </w:p>
        </w:tc>
      </w:tr>
    </w:tbl>
    <w:p/>
    <w:p>
      <w:r>
        <w:rPr>
          <w:rFonts w:ascii="Calibri" w:hAnsi="Calibri"/>
          <w:b w:val="0"/>
          <w:i/>
          <w:rFonts w:eastAsia="微软雅黑"/>
        </w:rPr>
        <w:t>补充验证：独立轮 4GaAs — CG 126s / cg_mixed 129s（SCF 8/8，能量差 1.4e-7 eV）。</w:t>
      </w:r>
    </w:p>
    <w:p>
      <w:pPr>
        <w:pStyle w:val="Heading3"/>
      </w:pPr>
      <w:r>
        <w:rPr>
          <w:rFonts w:ascii="Calibri" w:hAnsi="Calibri"/>
          <w:rFonts w:eastAsia="微软雅黑"/>
        </w:rPr>
        <w:t>完整汇总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>
        <w:tc>
          <w:tcPr>
            <w:tcW w:type="dxa" w:w="1037"/>
            <w:shd w:fill="2F549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  <w:rFonts w:eastAsia="微软雅黑"/>
              </w:rPr>
              <w:t>算例</w:t>
            </w:r>
          </w:p>
        </w:tc>
        <w:tc>
          <w:tcPr>
            <w:tcW w:type="dxa" w:w="1037"/>
            <w:shd w:fill="2F549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  <w:rFonts w:eastAsia="微软雅黑"/>
              </w:rPr>
              <w:t>CG Energy (eV)</w:t>
            </w:r>
          </w:p>
        </w:tc>
        <w:tc>
          <w:tcPr>
            <w:tcW w:type="dxa" w:w="1037"/>
            <w:shd w:fill="2F549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  <w:rFonts w:eastAsia="微软雅黑"/>
              </w:rPr>
              <w:t>CG Time</w:t>
            </w:r>
          </w:p>
        </w:tc>
        <w:tc>
          <w:tcPr>
            <w:tcW w:type="dxa" w:w="1037"/>
            <w:shd w:fill="2F549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  <w:rFonts w:eastAsia="微软雅黑"/>
              </w:rPr>
              <w:t>CG SCF</w:t>
            </w:r>
          </w:p>
        </w:tc>
        <w:tc>
          <w:tcPr>
            <w:tcW w:type="dxa" w:w="1037"/>
            <w:shd w:fill="2F549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  <w:rFonts w:eastAsia="微软雅黑"/>
              </w:rPr>
              <w:t>MIX Energy (eV)</w:t>
            </w:r>
          </w:p>
        </w:tc>
        <w:tc>
          <w:tcPr>
            <w:tcW w:type="dxa" w:w="1037"/>
            <w:shd w:fill="2F549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  <w:rFonts w:eastAsia="微软雅黑"/>
              </w:rPr>
              <w:t>MIX Time</w:t>
            </w:r>
          </w:p>
        </w:tc>
        <w:tc>
          <w:tcPr>
            <w:tcW w:type="dxa" w:w="1037"/>
            <w:shd w:fill="2F549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  <w:rFonts w:eastAsia="微软雅黑"/>
              </w:rPr>
              <w:t>MIX SCF</w:t>
            </w:r>
          </w:p>
        </w:tc>
        <w:tc>
          <w:tcPr>
            <w:tcW w:type="dxa" w:w="1037"/>
            <w:shd w:fill="2F549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  <w:rFonts w:eastAsia="微软雅黑"/>
              </w:rPr>
              <w:t>结论</w:t>
            </w:r>
          </w:p>
        </w:tc>
      </w:tr>
      <w:tr>
        <w:tc>
          <w:tcPr>
            <w:tcW w:type="dxa" w:w="1037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001</w:t>
            </w:r>
          </w:p>
        </w:tc>
        <w:tc>
          <w:tcPr>
            <w:tcW w:type="dxa" w:w="1037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-19861.754201266</w:t>
            </w:r>
          </w:p>
        </w:tc>
        <w:tc>
          <w:tcPr>
            <w:tcW w:type="dxa" w:w="1037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80s</w:t>
            </w:r>
          </w:p>
        </w:tc>
        <w:tc>
          <w:tcPr>
            <w:tcW w:type="dxa" w:w="1037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8</w:t>
            </w:r>
          </w:p>
        </w:tc>
        <w:tc>
          <w:tcPr>
            <w:tcW w:type="dxa" w:w="1037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-19861.754201415</w:t>
            </w:r>
          </w:p>
        </w:tc>
        <w:tc>
          <w:tcPr>
            <w:tcW w:type="dxa" w:w="1037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109s</w:t>
            </w:r>
          </w:p>
        </w:tc>
        <w:tc>
          <w:tcPr>
            <w:tcW w:type="dxa" w:w="1037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8</w:t>
            </w:r>
          </w:p>
        </w:tc>
        <w:tc>
          <w:tcPr>
            <w:tcW w:type="dxa" w:w="1037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✅</w:t>
            </w:r>
          </w:p>
        </w:tc>
      </w:tr>
      <w:tr>
        <w:tc>
          <w:tcPr>
            <w:tcW w:type="dxa" w:w="1037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002</w:t>
            </w:r>
          </w:p>
        </w:tc>
        <w:tc>
          <w:tcPr>
            <w:tcW w:type="dxa" w:w="1037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-701.220581963</w:t>
            </w:r>
          </w:p>
        </w:tc>
        <w:tc>
          <w:tcPr>
            <w:tcW w:type="dxa" w:w="1037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268s</w:t>
            </w:r>
          </w:p>
        </w:tc>
        <w:tc>
          <w:tcPr>
            <w:tcW w:type="dxa" w:w="1037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18</w:t>
            </w:r>
          </w:p>
        </w:tc>
        <w:tc>
          <w:tcPr>
            <w:tcW w:type="dxa" w:w="1037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-701.220582349</w:t>
            </w:r>
          </w:p>
        </w:tc>
        <w:tc>
          <w:tcPr>
            <w:tcW w:type="dxa" w:w="1037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255s</w:t>
            </w:r>
          </w:p>
        </w:tc>
        <w:tc>
          <w:tcPr>
            <w:tcW w:type="dxa" w:w="1037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17</w:t>
            </w:r>
          </w:p>
        </w:tc>
        <w:tc>
          <w:tcPr>
            <w:tcW w:type="dxa" w:w="1037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✅ 5%加速</w:t>
            </w:r>
          </w:p>
        </w:tc>
      </w:tr>
      <w:tr>
        <w:tc>
          <w:tcPr>
            <w:tcW w:type="dxa" w:w="1037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003</w:t>
            </w:r>
          </w:p>
        </w:tc>
        <w:tc>
          <w:tcPr>
            <w:tcW w:type="dxa" w:w="1037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-10055.227889695</w:t>
            </w:r>
          </w:p>
        </w:tc>
        <w:tc>
          <w:tcPr>
            <w:tcW w:type="dxa" w:w="1037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497s</w:t>
            </w:r>
          </w:p>
        </w:tc>
        <w:tc>
          <w:tcPr>
            <w:tcW w:type="dxa" w:w="1037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15</w:t>
            </w:r>
          </w:p>
        </w:tc>
        <w:tc>
          <w:tcPr>
            <w:tcW w:type="dxa" w:w="1037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-10055.227889597</w:t>
            </w:r>
          </w:p>
        </w:tc>
        <w:tc>
          <w:tcPr>
            <w:tcW w:type="dxa" w:w="1037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830s</w:t>
            </w:r>
          </w:p>
        </w:tc>
        <w:tc>
          <w:tcPr>
            <w:tcW w:type="dxa" w:w="1037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21</w:t>
            </w:r>
          </w:p>
        </w:tc>
        <w:tc>
          <w:tcPr>
            <w:tcW w:type="dxa" w:w="1037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⚠️ 多6步</w:t>
            </w:r>
          </w:p>
        </w:tc>
      </w:tr>
      <w:tr>
        <w:tc>
          <w:tcPr>
            <w:tcW w:type="dxa" w:w="1037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004</w:t>
            </w:r>
          </w:p>
        </w:tc>
        <w:tc>
          <w:tcPr>
            <w:tcW w:type="dxa" w:w="1037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-42624.379787986</w:t>
            </w:r>
          </w:p>
        </w:tc>
        <w:tc>
          <w:tcPr>
            <w:tcW w:type="dxa" w:w="1037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422s</w:t>
            </w:r>
          </w:p>
        </w:tc>
        <w:tc>
          <w:tcPr>
            <w:tcW w:type="dxa" w:w="1037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19</w:t>
            </w:r>
          </w:p>
        </w:tc>
        <w:tc>
          <w:tcPr>
            <w:tcW w:type="dxa" w:w="1037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未收敛</w:t>
            </w:r>
          </w:p>
        </w:tc>
        <w:tc>
          <w:tcPr>
            <w:tcW w:type="dxa" w:w="1037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2860s</w:t>
            </w:r>
          </w:p>
        </w:tc>
        <w:tc>
          <w:tcPr>
            <w:tcW w:type="dxa" w:w="1037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2</w:t>
            </w:r>
          </w:p>
        </w:tc>
        <w:tc>
          <w:tcPr>
            <w:tcW w:type="dxa" w:w="1037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❌ 停滞</w:t>
            </w:r>
          </w:p>
        </w:tc>
      </w:tr>
      <w:tr>
        <w:tc>
          <w:tcPr>
            <w:tcW w:type="dxa" w:w="1037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006</w:t>
            </w:r>
          </w:p>
        </w:tc>
        <w:tc>
          <w:tcPr>
            <w:tcW w:type="dxa" w:w="1037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-19877.267142014</w:t>
            </w:r>
          </w:p>
        </w:tc>
        <w:tc>
          <w:tcPr>
            <w:tcW w:type="dxa" w:w="1037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4106s</w:t>
            </w:r>
          </w:p>
        </w:tc>
        <w:tc>
          <w:tcPr>
            <w:tcW w:type="dxa" w:w="1037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23</w:t>
            </w:r>
          </w:p>
        </w:tc>
        <w:tc>
          <w:tcPr>
            <w:tcW w:type="dxa" w:w="1037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未收敛</w:t>
            </w:r>
          </w:p>
        </w:tc>
        <w:tc>
          <w:tcPr>
            <w:tcW w:type="dxa" w:w="1037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1820s</w:t>
            </w:r>
          </w:p>
        </w:tc>
        <w:tc>
          <w:tcPr>
            <w:tcW w:type="dxa" w:w="1037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2</w:t>
            </w:r>
          </w:p>
        </w:tc>
        <w:tc>
          <w:tcPr>
            <w:tcW w:type="dxa" w:w="1037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❌ 停滞</w:t>
            </w:r>
          </w:p>
        </w:tc>
      </w:tr>
    </w:tbl>
    <w:p/>
    <w:p>
      <w:pPr>
        <w:pStyle w:val="Heading2"/>
      </w:pPr>
      <w:r>
        <w:rPr>
          <w:rFonts w:ascii="Calibri" w:hAnsi="Calibri"/>
          <w:rFonts w:eastAsia="微软雅黑"/>
        </w:rPr>
        <w:t>4.3 核心发现</w:t>
      </w:r>
    </w:p>
    <w:p>
      <w:r>
        <w:rPr>
          <w:rFonts w:ascii="Calibri" w:hAnsi="Calibri"/>
          <w:b w:val="0"/>
          <w:i w:val="0"/>
          <w:rFonts w:eastAsia="微软雅黑"/>
        </w:rPr>
        <w:t>半导体/分子：混合精度 CG 数值正确，能量误差 &lt; 1e-6 eV。C2H6O 轻微加速 5%。4MoS2 上多用了 6 步 SCF——该二维材料带隙较小，混合精度噪声降低了收敛速度。</w:t>
      </w:r>
    </w:p>
    <w:p>
      <w:r>
        <w:rPr>
          <w:rFonts w:ascii="Calibri" w:hAnsi="Calibri"/>
          <w:b w:val="0"/>
          <w:i w:val="0"/>
          <w:rFonts w:eastAsia="微软雅黑"/>
        </w:rPr>
        <w:t>金属（Pt、Na）：混合精度 CG 灾难性失效。费米面附近态密度高，float SpMV 噪声过大导致每步 SCF 的特征值求解误差暴涨，SCF 几乎停滞。</w:t>
      </w:r>
    </w:p>
    <w:p>
      <w:r>
        <w:rPr>
          <w:rFonts w:ascii="Calibri" w:hAnsi="Calibri"/>
          <w:b/>
          <w:i w:val="0"/>
          <w:rFonts w:eastAsia="微软雅黑"/>
        </w:rPr>
        <w:t>适用性边界：混合精度 CG 适用于有清晰带隙（&gt; 1 eV）的半导体和绝缘体；不适合金属和窄带隙体系。</w:t>
      </w:r>
    </w:p>
    <w:p>
      <w:pPr>
        <w:pStyle w:val="Heading1"/>
      </w:pPr>
      <w:r>
        <w:rPr>
          <w:rFonts w:ascii="Calibri" w:hAnsi="Calibri"/>
          <w:rFonts w:eastAsia="微软雅黑"/>
        </w:rPr>
        <w:t>五、作业要求对照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  <w:shd w:fill="2F549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  <w:rFonts w:eastAsia="微软雅黑"/>
              </w:rPr>
              <w:t>要求</w:t>
            </w:r>
          </w:p>
        </w:tc>
        <w:tc>
          <w:tcPr>
            <w:tcW w:type="dxa" w:w="4150"/>
            <w:shd w:fill="2F549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  <w:rFonts w:eastAsia="微软雅黑"/>
              </w:rPr>
              <w:t>完成情况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精度分析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✅ SpMV/预条件用 float，点积/正交用 double</w:t>
            </w:r>
          </w:p>
        </w:tc>
      </w:tr>
      <w:tr>
        <w:tc>
          <w:tcPr>
            <w:tcW w:type="dxa" w:w="4150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实现方案</w:t>
            </w:r>
          </w:p>
        </w:tc>
        <w:tc>
          <w:tcPr>
            <w:tcW w:type="dxa" w:w="4150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✅ DiagoCGMixed 类 ~300 行，与现有 CG 接口兼容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性能测试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✅ 6 组合成矩阵 + 5 个 ABACUS 标准算例完整 SCF</w:t>
            </w:r>
          </w:p>
        </w:tc>
      </w:tr>
      <w:tr>
        <w:tc>
          <w:tcPr>
            <w:tcW w:type="dxa" w:w="4150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正确性验证</w:t>
            </w:r>
          </w:p>
        </w:tc>
        <w:tc>
          <w:tcPr>
            <w:tcW w:type="dxa" w:w="4150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✅ 半导体 ΔE &lt; 1e-6 eV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单元测试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✅ GTest 8 用例（6 PASS）</w:t>
            </w:r>
          </w:p>
        </w:tc>
      </w:tr>
      <w:tr>
        <w:tc>
          <w:tcPr>
            <w:tcW w:type="dxa" w:w="4150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代码重构（加分）</w:t>
            </w:r>
          </w:p>
        </w:tc>
        <w:tc>
          <w:tcPr>
            <w:tcW w:type="dxa" w:w="4150"/>
            <w:shd w:fill="D6E4F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✅ 提交 PR 到 ABACUS 上游，15/15 CI，标记 project_learning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目标加速比 1.5×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  <w:rFonts w:eastAsia="微软雅黑"/>
              </w:rPr>
              <w:t>⚠️ 未全面达标——小体系 overhead 大于收益，但方法边界已明确</w:t>
            </w:r>
          </w:p>
        </w:tc>
      </w:tr>
    </w:tbl>
    <w:p/>
    <w:p>
      <w:pPr>
        <w:pStyle w:val="Heading1"/>
      </w:pPr>
      <w:r>
        <w:rPr>
          <w:rFonts w:ascii="Calibri" w:hAnsi="Calibri"/>
          <w:rFonts w:eastAsia="微软雅黑"/>
        </w:rPr>
        <w:t>六、写在最后</w:t>
      </w:r>
    </w:p>
    <w:p>
      <w:r>
        <w:rPr>
          <w:rFonts w:ascii="Calibri" w:hAnsi="Calibri"/>
          <w:b w:val="0"/>
          <w:i w:val="0"/>
          <w:rFonts w:eastAsia="微软雅黑"/>
        </w:rPr>
        <w:t>写代码两天，调 CI 八天。中间好几次怀疑是不是选错了方向——为什么别人的方法看起来那么顺利，我的代码连编译都过不了？</w:t>
      </w:r>
    </w:p>
    <w:p>
      <w:r>
        <w:rPr>
          <w:rFonts w:ascii="Calibri" w:hAnsi="Calibri"/>
          <w:b w:val="0"/>
          <w:i w:val="0"/>
          <w:rFonts w:eastAsia="微软雅黑"/>
        </w:rPr>
        <w:t>后来想通了：在真实的软件工程中，让代码在别人的环境里跑通，比在自己的机器上写对，要难得多。CI 不会因为你是学生就宽容，上游重构不会因为你在开发就等你。</w:t>
      </w:r>
    </w:p>
    <w:p>
      <w:r>
        <w:rPr>
          <w:rFonts w:ascii="Calibri" w:hAnsi="Calibri"/>
          <w:b w:val="0"/>
          <w:i w:val="0"/>
          <w:rFonts w:eastAsia="微软雅黑"/>
        </w:rPr>
        <w:t>最深刻的教训是"读日志"。CI summary 显示所有测试 0s 时，我花了两天猜测试出了什么问题，全是无用功；最后发现 build 就没过，链接器第三行就报错了。那一刻又气又想笑——所有弯路都源于没看 raw log。</w:t>
      </w:r>
    </w:p>
    <w:p>
      <w:r>
        <w:rPr>
          <w:rFonts w:ascii="Calibri" w:hAnsi="Calibri"/>
          <w:b w:val="0"/>
          <w:i w:val="0"/>
          <w:rFonts w:eastAsia="微软雅黑"/>
        </w:rPr>
        <w:t>关于混合精度在金属上失效，我们选择诚实地写进报告。老师在作业说明里说："在 AI 时代，最能打动人的还是真诚。"C2H6O 的 5% 加速当然好，但 Pt 和 Na 上的惨痛失败同样值得记录——知道什么方法在什么体系上不 work，本身就是一个重要的工程结论。</w:t>
      </w:r>
    </w:p>
    <w:p>
      <w:r>
        <w:rPr>
          <w:rFonts w:ascii="Calibri" w:hAnsi="Calibri"/>
          <w:b w:val="0"/>
          <w:i/>
          <w:rFonts w:eastAsia="微软雅黑"/>
        </w:rPr>
        <w:t>感谢 AI 工具的帮助，也感谢它犯的那些错误——教会我什么时候该信任它，什么时候必须自己读代码。</w:t>
      </w:r>
    </w:p>
    <w:p/>
    <w:p>
      <w:pPr>
        <w:jc w:val="right"/>
      </w:pPr>
      <w:r>
        <w:rPr>
          <w:rFonts w:ascii="Calibri" w:hAnsi="Calibri"/>
          <w:color w:val="999999"/>
          <w:sz w:val="18"/>
          <w:rFonts w:eastAsia="微软雅黑"/>
        </w:rPr>
        <w:t>代码：GitHub PR #7417  |  CI：15/15 ✅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