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次氯酸钠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预处理）</w:t>
      </w:r>
    </w:p>
    <w:p>
      <w:pPr>
        <w:pStyle w:val="3"/>
        <w:bidi w:val="0"/>
      </w:pPr>
      <w:r>
        <w:rPr>
          <w:rFonts w:hint="eastAsia"/>
        </w:rPr>
        <w:t>药剂功能</w:t>
      </w:r>
    </w:p>
    <w:p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>
      <w:pPr>
        <w:pStyle w:val="3"/>
        <w:bidi w:val="0"/>
      </w:pPr>
      <w:r>
        <w:rPr>
          <w:rFonts w:hint="eastAsia"/>
        </w:rPr>
        <w:t>设计参数</w:t>
      </w:r>
    </w:p>
    <w:p>
      <w:pPr>
        <w:ind w:firstLine="480"/>
      </w:pPr>
      <w:r>
        <w:rPr>
          <w:rFonts w:hint="eastAsia"/>
        </w:rPr>
        <w:t>（1）设计规模</w:t>
      </w:r>
    </w:p>
    <w:p>
      <w:pPr>
        <w:ind w:firstLine="480"/>
      </w:pPr>
      <w:r>
        <w:rPr>
          <w:rFonts w:hint="eastAsia"/>
        </w:rPr>
        <w:t>设计水量Q=</w:t>
      </w:r>
      <m:oMath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/d。</w:t>
      </w:r>
    </w:p>
    <w:p>
      <w:pPr>
        <w:ind w:firstLine="480"/>
      </w:pPr>
      <w:r>
        <w:rPr>
          <w:rFonts w:hint="eastAsia"/>
        </w:rPr>
        <w:t>（2）设计参数</w:t>
      </w:r>
    </w:p>
    <w:p>
      <w:pPr>
        <w:ind w:firstLine="600" w:firstLineChars="250"/>
      </w:pPr>
      <w:r>
        <w:rPr>
          <w:rFonts w:hint="eastAsia"/>
        </w:rPr>
        <w:t>1）电解用食盐水的浓度约3%以上为宜，产品是淡黄绿色透明液体，含有效氯6~11mg/L。每生产1kg有效氯，约需食盐3.0~4.5kg，耗电5~10kW</w:t>
      </w:r>
      <w:r>
        <w:rPr>
          <w:rFonts w:hint="eastAsia" w:ascii="宋体" w:hAnsi="宋体"/>
        </w:rPr>
        <w:t>•</w:t>
      </w:r>
      <w:r>
        <w:rPr>
          <w:rFonts w:hint="eastAsia"/>
        </w:rPr>
        <w:t>h，其成本较漂白粉消毒低。</w:t>
      </w:r>
    </w:p>
    <w:p>
      <w:pPr>
        <w:ind w:firstLine="600" w:firstLineChars="250"/>
      </w:pPr>
      <w:r>
        <w:rPr>
          <w:rFonts w:hint="eastAsia"/>
        </w:rPr>
        <w:t>2）为防止有效氯的损失，次氯酸钠不宜久储，夏季当日用完，冬季可避光储存（气温低于25</w:t>
      </w:r>
      <w:r>
        <w:rPr>
          <w:rFonts w:hint="eastAsia" w:ascii="宋体" w:hAnsi="宋体"/>
        </w:rPr>
        <w:t>℃</w:t>
      </w:r>
      <w:r>
        <w:rPr>
          <w:rFonts w:hint="eastAsia"/>
        </w:rPr>
        <w:t>，每天损失有效氯0.11~0.15 mg/L；气温超过30</w:t>
      </w:r>
      <w:r>
        <w:rPr>
          <w:rFonts w:hint="eastAsia" w:ascii="宋体" w:hAnsi="宋体"/>
        </w:rPr>
        <w:t>℃</w:t>
      </w:r>
      <w:r>
        <w:rPr>
          <w:rFonts w:hint="eastAsia"/>
        </w:rPr>
        <w:t>，每天损失有效氯0.3~0.7 mg/L）。</w:t>
      </w:r>
    </w:p>
    <w:p>
      <w:pPr>
        <w:ind w:firstLine="600" w:firstLineChars="250"/>
      </w:pPr>
      <w:r>
        <w:rPr>
          <w:rFonts w:hint="eastAsia"/>
        </w:rPr>
        <w:t>3）其投配方式一般药液相同。</w:t>
      </w:r>
    </w:p>
    <w:p>
      <w:pPr>
        <w:pStyle w:val="3"/>
        <w:bidi w:val="0"/>
      </w:pPr>
      <w:r>
        <w:rPr>
          <w:rFonts w:hint="eastAsia"/>
        </w:rPr>
        <w:t>设计计算</w:t>
      </w:r>
      <w:bookmarkStart w:id="0" w:name="_GoBack"/>
      <w:bookmarkEnd w:id="0"/>
    </w:p>
    <w:p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/d（不包括自用水量），自用水量为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%，采用次氯酸钠消毒。</w:t>
      </w:r>
    </w:p>
    <w:p>
      <w:pPr>
        <w:ind w:firstLine="480"/>
      </w:pPr>
      <w:r>
        <w:rPr>
          <w:rFonts w:hint="eastAsia"/>
        </w:rPr>
        <w:t>成品次氯酸钠溶液含有效氯浓度c1={key</w:t>
      </w:r>
      <w:r>
        <w:t>4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现场次氯酸钠溶液含有效氯浓度c</w:t>
      </w:r>
      <w:r>
        <w:rPr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%，</w:t>
      </w:r>
    </w:p>
    <w:p>
      <w:pPr>
        <w:ind w:firstLine="480"/>
      </w:pPr>
      <w:r>
        <w:rPr>
          <w:rFonts w:hint="eastAsia"/>
        </w:rPr>
        <w:t>次氯酸钠溶液密度</w:t>
      </w:r>
      <w:r>
        <w:rPr>
          <w:rFonts w:cs="Times New Roman"/>
        </w:rPr>
        <w:t>ρ</w:t>
      </w:r>
      <w:r>
        <w:rPr>
          <w:rFonts w:hint="eastAsia" w:cs="Times New Roman"/>
          <w:vertAlign w:val="subscript"/>
        </w:rPr>
        <w:t>1</w:t>
      </w:r>
      <w:r>
        <w:rPr>
          <w:rFonts w:hint="eastAsia" w:cs="Times New Roman"/>
        </w:rPr>
        <w:t>=</w:t>
      </w:r>
      <w:r>
        <w:rPr>
          <w:rFonts w:hint="eastAsia" w:cs="Times New Roman"/>
          <w:lang w:val="en-US" w:eastAsia="zh-CN"/>
        </w:rPr>
        <w:t xml:space="preserve">{key6} </w:t>
      </w:r>
      <w:r>
        <w:rPr>
          <w:rFonts w:hint="eastAsia" w:cs="Times New Roman"/>
        </w:rPr>
        <w:t>kg/m</w:t>
      </w:r>
      <w:r>
        <w:rPr>
          <w:rFonts w:hint="eastAsia" w:cs="Times New Roman"/>
          <w:vertAlign w:val="superscript"/>
        </w:rPr>
        <w:t>3</w:t>
      </w:r>
      <w:r>
        <w:rPr>
          <w:rFonts w:hint="eastAsia"/>
        </w:rPr>
        <w:t>，</w:t>
      </w:r>
    </w:p>
    <w:p>
      <w:pPr>
        <w:ind w:firstLine="480"/>
      </w:pPr>
      <w:r>
        <w:rPr>
          <w:rFonts w:hint="eastAsia"/>
        </w:rPr>
        <w:t>电解食盐水浓度c</w:t>
      </w:r>
      <w:r>
        <w:rPr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{key7} </w:t>
      </w:r>
      <w:r>
        <w:rPr>
          <w:rFonts w:hint="eastAsia"/>
        </w:rPr>
        <w:t>%，</w:t>
      </w:r>
    </w:p>
    <w:p>
      <w:pPr>
        <w:ind w:firstLine="480"/>
      </w:pPr>
      <w:r>
        <w:rPr>
          <w:rFonts w:hint="eastAsia"/>
        </w:rPr>
        <w:t>食盐水密度</w:t>
      </w:r>
      <w:r>
        <w:rPr>
          <w:rFonts w:cs="Times New Roman"/>
        </w:rPr>
        <w:t>ρ</w:t>
      </w:r>
      <w:r>
        <w:rPr>
          <w:rFonts w:hint="eastAsia" w:cs="Times New Roman"/>
          <w:vertAlign w:val="subscript"/>
        </w:rPr>
        <w:t>2</w:t>
      </w:r>
      <w:r>
        <w:rPr>
          <w:rFonts w:hint="eastAsia" w:cs="Times New Roman"/>
        </w:rPr>
        <w:t>=</w:t>
      </w:r>
      <w:r>
        <w:rPr>
          <w:rFonts w:hint="eastAsia" w:cs="Times New Roman"/>
          <w:lang w:val="en-US" w:eastAsia="zh-CN"/>
        </w:rPr>
        <w:t>{key8}</w:t>
      </w:r>
      <w:r>
        <w:rPr>
          <w:rFonts w:hint="eastAsia" w:cs="Times New Roman"/>
        </w:rPr>
        <w:t>kg/m</w:t>
      </w:r>
      <w:r>
        <w:rPr>
          <w:rFonts w:hint="eastAsia" w:cs="Times New Roman"/>
          <w:vertAlign w:val="superscript"/>
        </w:rPr>
        <w:t>3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预处理次氯酸钠投加量为{key</w:t>
      </w:r>
      <w:r>
        <w:t>3</w:t>
      </w:r>
      <w:r>
        <w:rPr>
          <w:rFonts w:hint="eastAsia"/>
        </w:rPr>
        <w:t>}，因此预处理部分有效率投加量为{key</w:t>
      </w:r>
      <w:r>
        <w:t>9</w:t>
      </w:r>
      <w:r>
        <w:rPr>
          <w:rFonts w:hint="eastAsia"/>
        </w:rPr>
        <w:t>}</w:t>
      </w: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9EE38A2"/>
    <w:rsid w:val="0D3C216F"/>
    <w:rsid w:val="0D8A2659"/>
    <w:rsid w:val="18C37BE2"/>
    <w:rsid w:val="1D6C3651"/>
    <w:rsid w:val="218450F9"/>
    <w:rsid w:val="31FE0EF2"/>
    <w:rsid w:val="35845BB2"/>
    <w:rsid w:val="387B329C"/>
    <w:rsid w:val="4E884381"/>
    <w:rsid w:val="50575F45"/>
    <w:rsid w:val="55F570DE"/>
    <w:rsid w:val="61FA2BD4"/>
    <w:rsid w:val="779F6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287</Characters>
  <Lines>0</Lines>
  <Paragraphs>0</Paragraphs>
  <TotalTime>0</TotalTime>
  <ScaleCrop>false</ScaleCrop>
  <LinksUpToDate>false</LinksUpToDate>
  <CharactersWithSpaces>288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2025-04-19T17:17:27Z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70D24F7575124D779A7C40413D0BB1F0_12</vt:lpwstr>
  </property>
</Properties>
</file>