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EA0E6">
      <w:pPr>
        <w:pStyle w:val="2"/>
        <w:numPr>
          <w:numId w:val="0"/>
        </w:numPr>
        <w:spacing w:before="166" w:after="166"/>
        <w:ind w:leftChars="0"/>
      </w:pPr>
      <w:bookmarkStart w:id="0" w:name="_Toc57968168"/>
      <w:bookmarkStart w:id="1" w:name="_Toc57973742"/>
      <w:bookmarkStart w:id="2" w:name="_Toc57970541"/>
      <w:bookmarkStart w:id="3" w:name="_Toc57982496"/>
      <w:bookmarkStart w:id="4" w:name="_Toc57917558"/>
      <w:bookmarkStart w:id="5" w:name="_Toc57972227"/>
      <w:bookmarkStart w:id="6" w:name="_Toc57922106"/>
      <w:bookmarkStart w:id="7" w:name="_Toc57883725"/>
      <w:bookmarkStart w:id="8" w:name="_Toc57973510"/>
      <w:bookmarkStart w:id="9" w:name="_Toc57966300"/>
      <w:bookmarkStart w:id="10" w:name="_Toc57919561"/>
      <w:bookmarkStart w:id="11" w:name="_Toc57883694"/>
      <w:bookmarkStart w:id="12" w:name="_Toc57920031"/>
      <w:bookmarkStart w:id="13" w:name="_Toc57972388"/>
      <w:bookmarkStart w:id="14" w:name="_Toc57922671"/>
      <w:r>
        <w:rPr>
          <w:rFonts w:hint="eastAsia"/>
        </w:rPr>
        <w:t>加药间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FA55B53">
      <w:pPr>
        <w:pStyle w:val="3"/>
        <w:numPr>
          <w:numId w:val="0"/>
        </w:numPr>
        <w:spacing w:before="166" w:after="166"/>
        <w:ind w:leftChars="0"/>
      </w:pPr>
      <w:bookmarkStart w:id="15" w:name="_Toc57919562"/>
      <w:bookmarkStart w:id="16" w:name="_Toc57968169"/>
      <w:bookmarkStart w:id="17" w:name="_Toc57966301"/>
      <w:bookmarkStart w:id="18" w:name="_Toc57972389"/>
      <w:bookmarkStart w:id="19" w:name="_Toc57982497"/>
      <w:bookmarkStart w:id="20" w:name="_Toc57972228"/>
      <w:bookmarkStart w:id="21" w:name="_Toc57922107"/>
      <w:bookmarkStart w:id="22" w:name="_Toc57973743"/>
      <w:bookmarkStart w:id="23" w:name="_Toc57922672"/>
      <w:bookmarkStart w:id="24" w:name="_Toc57970542"/>
      <w:bookmarkStart w:id="25" w:name="_Toc57883726"/>
      <w:bookmarkStart w:id="26" w:name="_Toc57920032"/>
      <w:bookmarkStart w:id="27" w:name="_Toc57883695"/>
      <w:bookmarkStart w:id="28" w:name="_Toc57973511"/>
      <w:bookmarkStart w:id="29" w:name="_Toc57917559"/>
      <w:r>
        <w:rPr>
          <w:rFonts w:hint="eastAsia"/>
        </w:rPr>
        <w:t>次氯酸钠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07E278A">
      <w:pPr>
        <w:pStyle w:val="4"/>
        <w:numPr>
          <w:numId w:val="0"/>
        </w:numPr>
        <w:spacing w:before="166" w:after="166"/>
        <w:ind w:leftChars="0"/>
      </w:pPr>
      <w:r>
        <w:rPr>
          <w:rFonts w:hint="eastAsia"/>
        </w:rPr>
        <w:t>药剂功能</w:t>
      </w:r>
    </w:p>
    <w:p w14:paraId="66A9FC19"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 w14:paraId="525C8FD1"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 w14:paraId="1F46081B"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 w14:paraId="644E4C61">
      <w:pPr>
        <w:pStyle w:val="4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</w:t>
      </w:r>
    </w:p>
    <w:p w14:paraId="3BA5C2CD"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>{key1}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</w:t>
      </w:r>
    </w:p>
    <w:p w14:paraId="67FB6777">
      <w:pPr>
        <w:ind w:firstLine="480"/>
        <w:rPr>
          <w:rFonts w:hint="eastAsia"/>
        </w:rPr>
      </w:pPr>
      <w:r>
        <w:rPr>
          <w:rFonts w:hint="eastAsia"/>
        </w:rPr>
        <w:t>投氯量为</w:t>
      </w:r>
      <w:r>
        <w:rPr>
          <w:rFonts w:hint="eastAsia"/>
          <w:lang w:val="en-US" w:eastAsia="zh-CN"/>
        </w:rPr>
        <w:t>{key2</w:t>
      </w:r>
      <w:bookmarkStart w:id="30" w:name="_GoBack"/>
      <w:bookmarkEnd w:id="30"/>
      <w:r>
        <w:rPr>
          <w:rFonts w:hint="eastAsia"/>
          <w:lang w:val="en-US" w:eastAsia="zh-CN"/>
        </w:rPr>
        <w:t>}</w:t>
      </w:r>
      <w:r>
        <w:rPr>
          <w:rFonts w:hint="eastAsia"/>
        </w:rPr>
        <w:t xml:space="preserve"> mg/L</w:t>
      </w:r>
    </w:p>
    <w:p w14:paraId="55C13F6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21845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2024-09-04T12:28:52Z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70D24F7575124D779A7C40413D0BB1F0_12</vt:lpwstr>
  </property>
</Properties>
</file>