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57883698"/>
      <w:bookmarkStart w:id="1" w:name="_Toc19102"/>
      <w:bookmarkStart w:id="2" w:name="_Toc57970545"/>
      <w:bookmarkStart w:id="3" w:name="_Toc57920035"/>
      <w:bookmarkStart w:id="4" w:name="_Toc57919565"/>
      <w:bookmarkStart w:id="5" w:name="_Toc57966304"/>
      <w:bookmarkStart w:id="6" w:name="_Toc57922675"/>
      <w:bookmarkStart w:id="7" w:name="_Toc57968172"/>
      <w:bookmarkStart w:id="8" w:name="_Toc57922110"/>
      <w:bookmarkStart w:id="9" w:name="_Toc57917562"/>
      <w:bookmarkStart w:id="10" w:name="_Toc57972231"/>
      <w:bookmarkStart w:id="11" w:name="_Toc57883729"/>
      <w:bookmarkStart w:id="12" w:name="_Toc57973514"/>
      <w:bookmarkStart w:id="13" w:name="_Toc57972392"/>
      <w:bookmarkStart w:id="14" w:name="_Toc57973746"/>
      <w:r>
        <w:t>PAM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default" w:ascii="Times New Roman" w:hAnsi="Times New Roman" w:cs="Times New Roman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3"/>
        <w:bidi w:val="0"/>
      </w:pPr>
      <w:r>
        <w:rPr>
          <w:rFonts w:hint="eastAsia"/>
        </w:rPr>
        <w:t>PA</w:t>
      </w:r>
      <w:r>
        <w:t>M</w:t>
      </w:r>
      <w:r>
        <w:rPr>
          <w:rFonts w:hint="eastAsia"/>
        </w:rPr>
        <w:t>投加系统设计计算</w:t>
      </w:r>
      <w:bookmarkStart w:id="15" w:name="_GoBack"/>
      <w:bookmarkEnd w:id="15"/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</w:t>
      </w: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次。则溶液池容积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÷</w:t>
      </w:r>
      <w:r>
        <w:rPr>
          <w:rFonts w:hint="eastAsia"/>
        </w:rPr>
        <w:t>4.17=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{key16}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{key18}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eastAsia" w:ascii="宋体" w:hAnsi="宋体"/>
          <w:lang w:val="en-US" w:eastAsia="zh-CN"/>
        </w:rPr>
        <w:t>{key24}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w:rPr>
          <w:rFonts w:hint="default" w:eastAsia="宋体" w:cs="宋体"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w:rPr>
          <w:rFonts w:hint="eastAsia" w:cs="宋体"/>
          <w:i w:val="0"/>
          <w:lang w:val="en-US" w:eastAsia="zh-CN" w:bidi="ar"/>
        </w:rPr>
        <w:t>{key27}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{key28}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({key30}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60/(3.14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 xml:space="preserve">0.60))^3 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{key18}</w:t>
      </w:r>
      <m:oMath>
        <m:r>
          <m:rPr/>
          <w:rPr>
            <w:rFonts w:ascii="Cambria Math" w:cs="宋体"/>
            <w:lang w:bidi="ar"/>
          </w:rPr>
          <m:t>×</m:t>
        </m:r>
        <m:r>
          <m:rPr>
            <m:sty m:val="p"/>
          </m:rPr>
          <w:rPr>
            <w:rFonts w:ascii="Cambria Math" w:cs="宋体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({key16}/2)^4/(408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 xml:space="preserve">9.81) = {key31}kW </w:t>
      </w:r>
    </w:p>
    <w:p>
      <w:pPr>
        <w:numPr>
          <w:ilvl w:val="0"/>
          <w:numId w:val="2"/>
        </w:numPr>
        <w:ind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eastAsia"/>
        </w:rPr>
        <w:t>1000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%=</w:t>
      </w:r>
      <w:r>
        <w:rPr>
          <w:rFonts w:hint="eastAsia"/>
          <w:lang w:val="en-US" w:eastAsia="zh-CN"/>
        </w:rPr>
        <w:t>{key39}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07114F"/>
    <w:multiLevelType w:val="multilevel"/>
    <w:tmpl w:val="7307114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9092C22"/>
    <w:rsid w:val="193E101D"/>
    <w:rsid w:val="1AE87493"/>
    <w:rsid w:val="1EFB2775"/>
    <w:rsid w:val="3C9012E0"/>
    <w:rsid w:val="42321CF9"/>
    <w:rsid w:val="46A76EDC"/>
    <w:rsid w:val="4AF50CEE"/>
    <w:rsid w:val="4F8151E4"/>
    <w:rsid w:val="535B77C2"/>
    <w:rsid w:val="69707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4D26C36E8C4E4113ADC5A4C1897398BF_12</vt:lpwstr>
  </property>
</Properties>
</file>