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bookmarkStart w:id="0" w:name="_Toc57982456"/>
      <w:bookmarkStart w:id="1" w:name="_Toc57973470"/>
      <w:bookmarkStart w:id="2" w:name="_Toc57972348"/>
      <w:bookmarkStart w:id="3" w:name="_Toc57922069"/>
      <w:bookmarkStart w:id="4" w:name="_Toc57883709"/>
      <w:bookmarkStart w:id="5" w:name="_Toc57917524"/>
      <w:bookmarkStart w:id="6" w:name="_Toc57968128"/>
      <w:bookmarkStart w:id="7" w:name="_Toc57922634"/>
      <w:bookmarkStart w:id="8" w:name="_Toc57973702"/>
      <w:bookmarkStart w:id="9" w:name="_Toc57966260"/>
      <w:bookmarkStart w:id="10" w:name="_Toc57883678"/>
      <w:bookmarkStart w:id="11" w:name="_Toc57919997"/>
      <w:bookmarkStart w:id="12" w:name="_Toc57970501"/>
      <w:bookmarkStart w:id="13" w:name="_Toc57972187"/>
      <w:bookmarkStart w:id="14" w:name="_Toc57919527"/>
      <w:r>
        <w:rPr>
          <w:rFonts w:hint="eastAsia"/>
        </w:rPr>
        <w:t>水力循环澄清池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66" w:after="166"/>
      </w:pPr>
      <w:bookmarkStart w:id="15" w:name="_Toc57966261"/>
      <w:bookmarkStart w:id="16" w:name="_Toc57973703"/>
      <w:bookmarkStart w:id="17" w:name="_Toc57972188"/>
      <w:bookmarkStart w:id="18" w:name="_Toc57972349"/>
      <w:bookmarkStart w:id="19" w:name="_Toc57970502"/>
      <w:bookmarkStart w:id="20" w:name="_Toc18127"/>
      <w:bookmarkStart w:id="21" w:name="_Toc57973471"/>
      <w:bookmarkStart w:id="22" w:name="_Toc57968129"/>
      <w:r>
        <w:rPr>
          <w:rFonts w:hint="eastAsia"/>
        </w:rP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ind w:firstLine="480"/>
      </w:pPr>
      <w:r>
        <w:rPr>
          <w:rFonts w:hint="eastAsia"/>
        </w:rPr>
        <w:t>澄清池即净化（水的净化处理包括混凝、沉淀、过滤）。水力循环澄清池中，水的混合及泥渣的循环回流不是依靠机械进行搅拌和提升，而是利用水射器的作用，即利用进水管中的水流动力来完成，所以，其最大的特点是没有转动部件。</w:t>
      </w:r>
    </w:p>
    <w:p>
      <w:pPr>
        <w:ind w:firstLine="480"/>
      </w:pPr>
      <w:r>
        <w:rPr>
          <w:rFonts w:hint="eastAsia"/>
        </w:rPr>
        <w:t>水力循环澄清池主要由进水水射器（喷嘴、喉管等）、絮凝室、分离室、排泥系统、出水系统等部分组成。</w:t>
      </w:r>
    </w:p>
    <w:p>
      <w:pPr>
        <w:pStyle w:val="3"/>
        <w:spacing w:before="166" w:after="166"/>
      </w:pPr>
      <w:bookmarkStart w:id="23" w:name="_Toc57972189"/>
      <w:bookmarkStart w:id="24" w:name="_Toc57970503"/>
      <w:bookmarkStart w:id="25" w:name="_Toc57966262"/>
      <w:bookmarkStart w:id="26" w:name="_Toc57973472"/>
      <w:bookmarkStart w:id="27" w:name="_Toc57972350"/>
      <w:bookmarkStart w:id="28" w:name="_Toc57973704"/>
      <w:bookmarkStart w:id="29" w:name="_Toc6197"/>
      <w:bookmarkStart w:id="30" w:name="_Toc57968130"/>
      <w:r>
        <w:rPr>
          <w:rFonts w:hint="eastAsia"/>
        </w:rPr>
        <w:t>设计参数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80"/>
        <w:rPr>
          <w:rFonts w:cs="Times New Roman"/>
        </w:rPr>
      </w:pPr>
      <w:bookmarkStart w:id="31" w:name="_Toc57966263"/>
      <w:bookmarkStart w:id="32" w:name="_Toc57972351"/>
      <w:bookmarkStart w:id="33" w:name="_Toc57972190"/>
      <w:bookmarkStart w:id="34" w:name="_Toc57968131"/>
      <w:bookmarkStart w:id="35" w:name="_Toc57973705"/>
      <w:bookmarkStart w:id="36" w:name="_Toc57970504"/>
      <w:bookmarkStart w:id="37" w:name="_Toc57973473"/>
      <w:r>
        <w:rPr>
          <w:rFonts w:cs="Times New Roman"/>
        </w:rPr>
        <w:t>设计水量Q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/h={key2}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/s，回流比为{key3}，喷嘴流速v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m/s，第一絮凝室出口流速v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m/s，第二絮凝室出口流速v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={key6}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m/s，分离室上身流速v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mm/s={key8}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m/s，水在第一絮凝室停留时间t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={key9} s，进水管流速v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={key10}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m/s。</w:t>
      </w:r>
    </w:p>
    <w:p>
      <w:pPr>
        <w:pStyle w:val="3"/>
        <w:spacing w:before="166" w:after="166"/>
      </w:pPr>
      <w:bookmarkStart w:id="38" w:name="_Toc2835"/>
      <w:r>
        <w:rPr>
          <w:rFonts w:hint="eastAsia"/>
        </w:rPr>
        <w:t>设计计算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>
      <w:pPr>
        <w:ind w:firstLine="480"/>
        <w:rPr>
          <w:rFonts w:cs="Times New Roman"/>
        </w:rPr>
      </w:pPr>
      <w:r>
        <w:rPr>
          <w:rFonts w:cs="Times New Roman"/>
        </w:rPr>
        <w:t>进水管直径</w:t>
      </w:r>
    </w:p>
    <w:p>
      <w:pPr>
        <w:spacing w:line="240" w:lineRule="auto"/>
        <w:ind w:firstLine="48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6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{key11}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，取{key12}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m={key13}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喷嘴直径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{key14}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 w:firstLineChars="0"/>
        <w:rPr>
          <w:rFonts w:cs="Times New Roman"/>
        </w:rPr>
      </w:pPr>
      <w:r>
        <w:rPr>
          <w:rFonts w:cs="Times New Roman"/>
        </w:rPr>
        <w:t>采用d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={key15} m，喷嘴管长采用{key16}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mm={key17}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m，其底部直径为{key18}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m（与进水管同直径）喷嘴与喉管的距离，试运行时可在5~10cm间调节，视水质而定。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喷嘴与喉管的直径比，采用d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：d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={key19}  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=3d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={key20}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喉管的提升量Q</w:t>
      </w:r>
      <w:r>
        <w:rPr>
          <w:rFonts w:cs="Times New Roman"/>
          <w:vertAlign w:val="subscript"/>
        </w:rPr>
        <w:t>提</w:t>
      </w:r>
      <w:r>
        <w:rPr>
          <w:rFonts w:cs="Times New Roman"/>
        </w:rPr>
        <w:t>=4Q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={key21}（m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/s）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喉管流速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{key22} </w:t>
      </w:r>
      <m:oMath>
        <m:r>
          <m:rPr>
            <m:sty m:val="p"/>
          </m:rPr>
          <w:rPr>
            <w:rFonts w:ascii="Cambria Math" w:hAnsi="Cambria Math" w:cs="Times New Roman"/>
          </w:rPr>
          <m:t>m/s</m:t>
        </m:r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喉管长度取h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=6d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={key23}（m）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喇叭口斜边采用45°倾角，高度取{key24}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m，则喇叭口直径为d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={key25}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第一絮凝室上口面积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{key26}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上口直径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{key27} m</w:t>
      </w:r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设第一絮凝室高度为h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，则其容积为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r>
              <m:rPr/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d</m:t>
                </m:r>
                <m:ctrlPr>
                  <w:rPr>
                    <w:rFonts w:ascii="Cambria Math" w:hAnsi="Cambria Math" w:cs="Times New Roman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因为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d>
              <m:dPr>
                <m:begChr m:val="（"/>
                <m:endChr m:val="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  <m:r>
                  <m:rPr/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  <m:r>
                  <m:rPr/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所以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ℎ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d>
              <m:dPr>
                <m:begChr m:val="（"/>
                <m:endChr m:val="）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cs="Times New Roman"/>
                        <w:b w:val="0"/>
                        <w:i w:val="0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Times New Roma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bSup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cs="Times New Roman"/>
                        <w:b w:val="0"/>
                        <w:i w:val="0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d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{key28} m</w:t>
      </w:r>
      <w:r>
        <w:rPr>
          <w:rFonts w:cs="Times New Roman"/>
        </w:rPr>
        <w:t>，取h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={key29}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第二絮凝室进口断面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{key30}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第二絮凝室直径（包括第一絮凝室）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{key31}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第二絮凝室高度取h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={key32}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m(包括超高{key33}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第二絮凝室体积（包括第一絮凝室的部分体积）</w:t>
      </w:r>
    </w:p>
    <w:p>
      <w:pPr>
        <w:tabs>
          <w:tab w:val="center" w:pos="4540"/>
          <w:tab w:val="right" w:pos="9080"/>
        </w:tabs>
        <w:spacing w:line="24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bSup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−0.25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{key34}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停留时间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提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{key35}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s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扣除第一絮凝室体积后，停留时间约为t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={key36}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s，取{key37}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s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分离室面积A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=Q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/v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={key38} (m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澄清池直径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="Times New Roman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cs="Times New Roman"/>
                        <w:b w:val="0"/>
                        <w:i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  <m:sty m:val="p"/>
                          </m:rPr>
                          <w:rPr>
                            <w:rFonts w:ascii="Cambria Math" w:hAnsi="Cambria Math" w:cs="Times New Roman"/>
                            <w:b w:val="0"/>
                            <w:i w:val="0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cs="Times New Roman"/>
                        <w:b w:val="0"/>
                        <w:i w:val="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nor/>
                            <m:sty m:val="p"/>
                          </m:rPr>
                          <w:rPr>
                            <w:rFonts w:ascii="Cambria Math" w:hAnsi="Cambria Math" w:cs="Times New Roman"/>
                            <w:b w:val="0"/>
                            <w:i w:val="0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="Times New Roman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{key39}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>取{key40}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澄清池高度H的计算：喉管喇叭口距池底{key41}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m，喉管喇叭口高度0.15m，喉管长度0.90m，第一絮凝室高度3.10m，第一絮凝室顶水深0.30m，超高0.25m，所以池体总高度H={key42}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m。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池底直径采用D’={key43}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m，池底坡角采用a=45°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Cambria Math" w:hAnsi="Cambria Math" w:cs="Times New Roman"/>
                    <w:b w:val="0"/>
                    <w:i w:val="0"/>
                  </w:rPr>
                  <m:t>D-D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  <m:ctrlPr>
              <w:rPr>
                <w:rFonts w:ascii="Cambria Math" w:hAnsi="Cambria Math" w:cs="Times New Roman"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{key44}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池子直壁部分高度H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=H-H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={key45}（m）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澄清池总体积及停留时间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直壁部分体积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{key46}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锥体部分体积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12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H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+D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r>
              <m:rPr/>
              <w:rPr>
                <w:rFonts w:ascii="Cambria Math" w:hAnsi="Cambria Math" w:cs="Times New Roman"/>
              </w:rPr>
              <m:t>+D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'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{key47}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池的总体积V=V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+V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={key48}（m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）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分离区停留时间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ℎ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r>
              <m:rPr/>
              <w:rPr>
                <w:rFonts w:ascii="Cambria Math" w:hAnsi="Cambria Math" w:cs="Times New Roman"/>
              </w:rPr>
              <m:t>−0.25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>{key49} (s)  =  {key50} (min)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水在池内的实际历时t’=t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+t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+t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= {key51} (min)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泥渣室容积按澄清池总容积1%计，即</w:t>
      </w:r>
    </w:p>
    <w:p>
      <w:pPr>
        <w:ind w:firstLine="1080" w:firstLineChars="450"/>
        <w:rPr>
          <w:rFonts w:cs="Times New Roman"/>
        </w:rPr>
      </w:pPr>
      <w:r>
        <w:rPr>
          <w:rFonts w:cs="Times New Roman"/>
        </w:rPr>
        <w:t>V</w:t>
      </w:r>
      <w:r>
        <w:rPr>
          <w:rFonts w:cs="Times New Roman"/>
          <w:vertAlign w:val="subscript"/>
        </w:rPr>
        <w:t>泥</w:t>
      </w:r>
      <w:r>
        <w:rPr>
          <w:rFonts w:cs="Times New Roman"/>
        </w:rPr>
        <w:t>=0.01V={key52}（m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）</w:t>
      </w:r>
    </w:p>
    <w:p>
      <w:pPr>
        <w:ind w:firstLine="0" w:firstLineChars="0"/>
        <w:rPr>
          <w:rFonts w:cs="Times New Roman"/>
        </w:rPr>
      </w:pPr>
      <w:r>
        <w:rPr>
          <w:rFonts w:cs="Times New Roman"/>
        </w:rPr>
        <w:t>设置一个排泥斗，形状采用倒立正四棱锥体，其锥底边长和锥高均为Z，则其体积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泥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Z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nor/>
                <m:sty m:val="p"/>
              </m:rPr>
              <w:rPr>
                <w:rFonts w:ascii="Cambria Math" w:hAnsi="Cambria Math" w:cs="Times New Roman"/>
                <w:b w:val="0"/>
                <w:i w:val="0"/>
              </w:rPr>
              <m:t>Z</m:t>
            </m:r>
            <m:ctrlPr>
              <w:rPr>
                <w:rFonts w:ascii="Cambria Math" w:hAnsi="Cambria Math" w:cs="Times New Roman"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Z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所以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Z=</m:t>
        </m:r>
        <m:rad>
          <m:radPr>
            <m:ctrlPr>
              <w:rPr>
                <w:rFonts w:ascii="Cambria Math" w:hAnsi="Cambria Math" w:cs="Times New Roman"/>
                <w:i/>
              </w:rPr>
            </m:ctrlPr>
          </m:radPr>
          <m:deg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deg>
          <m:e>
            <m:r>
              <m:rPr/>
              <w:rPr>
                <w:rFonts w:ascii="Cambria Math" w:hAnsi="Cambria Math" w:cs="Times New Roman"/>
              </w:rPr>
              <m:t>3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泥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{key53}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排泥历时t</w:t>
      </w:r>
      <w:r>
        <w:rPr>
          <w:rFonts w:cs="Times New Roman"/>
          <w:vertAlign w:val="subscript"/>
        </w:rPr>
        <w:t>4</w:t>
      </w:r>
      <w:r>
        <w:rPr>
          <w:rFonts w:cs="Times New Roman"/>
        </w:rPr>
        <w:t>={key54}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s，排泥流量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泥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{key55}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3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  <m:r>
          <m:rPr>
            <m:sty m:val="p"/>
          </m:rPr>
          <w:rPr>
            <w:rFonts w:ascii="Cambria Math" w:hAnsi="Cambria Math" w:cs="Times New Roman"/>
          </w:rPr>
          <m:t>/s</m:t>
        </m:r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排泥管流速v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={key56}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m/s，排泥管直径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5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{key57}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取d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>={key58}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进水管流速采用v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={key59}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m/s，则进水管直径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d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6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>
            <m:ctrlPr>
              <w:rPr>
                <w:rFonts w:ascii="Cambria Math" w:hAnsi="Cambria Math" w:cs="Times New Roman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Q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6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{key60}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采用d</w:t>
      </w:r>
      <w:r>
        <w:rPr>
          <w:rFonts w:cs="Times New Roman"/>
          <w:vertAlign w:val="subscript"/>
        </w:rPr>
        <w:t>6</w:t>
      </w:r>
      <w:r>
        <w:rPr>
          <w:rFonts w:cs="Times New Roman"/>
        </w:rPr>
        <w:t>={key61}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环形集水槽设在池外壁外侧，采用淹没孔进水，流量超载系数取K={key62}，则槽中流量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cs="Times New Roman"/>
        </w:rPr>
      </w:pPr>
      <w:r>
        <w:rPr>
          <w:rFonts w:cs="Times New Roman"/>
        </w:rPr>
        <w:tab/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Q=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K</m:t>
        </m:r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{key63}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cs="Times New Roman"/>
        </w:rPr>
        <w:t xml:space="preserve"> 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槽宽b=0.9q</w:t>
      </w:r>
      <w:r>
        <w:rPr>
          <w:rFonts w:cs="Times New Roman"/>
          <w:vertAlign w:val="superscript"/>
        </w:rPr>
        <w:t>0.4</w:t>
      </w:r>
      <w:r>
        <w:rPr>
          <w:rFonts w:cs="Times New Roman"/>
        </w:rPr>
        <w:t>={key64}（m），取{key65}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孔眼轴线的淹没水深取50mm，超高取70mm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起点槽深 h’=0.75b+0.05+0.07={key66} (m)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终点槽深 h’’=1.25b+0.05+0.07={key67} (m)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为加工和施工简便，采用等断面，即b=15cm，h={key68}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m，流量系数</w:t>
      </w:r>
      <m:oMath>
        <m:r>
          <m:rPr/>
          <w:rPr>
            <w:rFonts w:ascii="Cambria Math" w:hAnsi="Cambria Math" w:cs="Times New Roman"/>
          </w:rPr>
          <m:t>μ</m:t>
        </m:r>
      </m:oMath>
      <w:r>
        <w:rPr>
          <w:rFonts w:cs="Times New Roman"/>
        </w:rPr>
        <w:t>={key69}，孔眼中心线以上水头h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={key70}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槽壁孔眼总面积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r>
          <m:rPr/>
          <w:rPr>
            <w:rFonts w:ascii="Cambria Math" w:hAnsi="Cambria Math" w:cs="Times New Roman"/>
          </w:rPr>
          <m:t>Σ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f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0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μ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</w:rPr>
                  <m:t>2g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</w:rPr>
                      <m:t>ℎ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</w:rPr>
                </m:ctrlPr>
              </m:e>
            </m:rad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{key71}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d>
      </m:oMath>
      <w:r>
        <w:rPr>
          <w:rFonts w:hint="eastAsia" w:hAnsi="Cambria Math" w:cs="Times New Roman"/>
          <w:i w:val="0"/>
          <w:lang w:val="en-US" w:eastAsia="zh-CN"/>
        </w:rPr>
        <w:t xml:space="preserve"> = {key72} </w:t>
      </w:r>
      <m:oMath>
        <m:r>
          <m:rPr/>
          <w:rPr>
            <w:rFonts w:ascii="Cambria Math" w:hAnsi="Cambria Math" w:cs="Times New Roman"/>
          </w:rPr>
          <m:t>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i/>
              </w:rPr>
            </m:ctrlPr>
          </m:sup>
        </m:sSup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孔眼直径采用d={key73}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mm={key74}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cm，单孔面积f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=3.14cm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>，则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孔眼数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π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{key75} (个)</w:t>
      </w:r>
    </w:p>
    <w:p>
      <w:pPr>
        <w:ind w:firstLine="480"/>
        <w:rPr>
          <w:rFonts w:cs="Times New Roman"/>
        </w:rPr>
      </w:pPr>
      <w:r>
        <w:rPr>
          <w:rFonts w:cs="Times New Roman"/>
        </w:rPr>
        <w:t>孔眼流速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/>
              <w:rPr>
                <w:rFonts w:ascii="Cambria Math" w:hAnsi="Cambria Math" w:cs="Times New Roman"/>
              </w:rPr>
              <m:t>v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/>
              <w:rPr>
                <w:rFonts w:ascii="Cambria Math" w:hAnsi="Cambria Math" w:cs="Times New Roman"/>
              </w:rPr>
              <m:t>7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  <m:r>
          <m:rPr/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q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Σ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f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w:rPr>
          <w:rFonts w:cs="Times New Roman"/>
        </w:rPr>
        <w:t xml:space="preserve"> </w:t>
      </w:r>
      <w:r>
        <w:rPr>
          <w:rFonts w:hint="eastAsia" w:cs="Times New Roman"/>
          <w:lang w:val="en-US" w:eastAsia="zh-CN"/>
        </w:rPr>
        <w:t xml:space="preserve">{key76}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</w:rPr>
                  <m:t>s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den>
            </m:f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孔眼中心间距</w:t>
      </w:r>
    </w:p>
    <w:p>
      <w:pPr>
        <w:tabs>
          <w:tab w:val="center" w:pos="4540"/>
          <w:tab w:val="right" w:pos="9080"/>
        </w:tabs>
        <w:spacing w:line="360" w:lineRule="auto"/>
        <w:ind w:firstLine="480"/>
        <w:rPr>
          <w:rFonts w:hint="default" w:eastAsia="宋体" w:cs="Times New Roman"/>
          <w:lang w:val="en-US" w:eastAsia="zh-CN"/>
        </w:rPr>
      </w:pPr>
      <w:r>
        <w:rPr>
          <w:rFonts w:cs="Times New Roman"/>
        </w:rPr>
        <w:tab/>
      </w:r>
      <m:oMath>
        <m:r>
          <m:rPr>
            <m:nor/>
            <m:sty m:val="p"/>
          </m:rPr>
          <w:rPr>
            <w:rFonts w:ascii="Cambria Math" w:hAnsi="Cambria Math" w:cs="Times New Roman"/>
            <w:b w:val="0"/>
            <w:i w:val="0"/>
          </w:rPr>
          <m:t>S=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πD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n×2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{key77} </w:t>
      </w:r>
      <m:oMath>
        <m:d>
          <m:dPr>
            <m:begChr m:val="（"/>
            <m:endChr m:val="）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m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出水管管径采用d={key78}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mm，校核出水管流速v</w:t>
      </w:r>
    </w:p>
    <w:p>
      <w:pPr>
        <w:spacing w:line="240" w:lineRule="auto"/>
        <w:ind w:firstLine="3403" w:firstLineChars="1418"/>
        <w:rPr>
          <w:rFonts w:hint="default" w:eastAsia="宋体" w:cs="Times New Roman"/>
          <w:lang w:val="en-US" w:eastAsia="zh-CN"/>
        </w:rPr>
      </w:pPr>
      <m:oMath>
        <m:r>
          <m:rPr/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（d/1000）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{key79} </w:t>
      </w:r>
      <m:oMath>
        <m:r>
          <m:rPr>
            <m:sty m:val="p"/>
          </m:rPr>
          <w:rPr>
            <w:rFonts w:ascii="Cambria Math" w:hAnsi="Cambria Math" w:cs="Times New Roman"/>
          </w:rPr>
          <m:t>m/s</m:t>
        </m:r>
      </m:oMath>
    </w:p>
    <w:p>
      <w:pPr>
        <w:ind w:firstLine="480"/>
        <w:rPr>
          <w:rFonts w:cs="Times New Roman"/>
        </w:rPr>
      </w:pPr>
      <w:r>
        <w:rPr>
          <w:rFonts w:cs="Times New Roman"/>
        </w:rPr>
        <w:t>放空管径采用d={key80}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cs="Times New Roman"/>
        </w:rPr>
        <w:t>mm，校核放空管流速v</w:t>
      </w:r>
    </w:p>
    <w:p>
      <w:pPr>
        <w:spacing w:line="240" w:lineRule="auto"/>
        <w:ind w:firstLine="3403" w:firstLineChars="1418"/>
        <w:rPr>
          <w:rFonts w:hint="default" w:eastAsia="宋体" w:cs="Times New Roman"/>
          <w:lang w:val="en-US" w:eastAsia="zh-CN"/>
        </w:rPr>
      </w:pPr>
      <m:oMath>
        <w:bookmarkStart w:id="39" w:name="_GoBack"/>
        <w:bookmarkEnd w:id="39"/>
        <m:r>
          <m:rPr/>
          <w:rPr>
            <w:rFonts w:ascii="Cambria Math" w:hAnsi="Cambria Math" w:cs="Times New Roman"/>
          </w:rPr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</w:rPr>
                  <m:t>Q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（d/1000）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den>
        </m:f>
        <m:r>
          <m:rPr/>
          <w:rPr>
            <w:rFonts w:ascii="Cambria Math" w:hAnsi="Cambria Math" w:cs="Times New Roman"/>
          </w:rPr>
          <m:t>=</m:t>
        </m:r>
      </m:oMath>
      <w:r>
        <m:rPr/>
        <w:rPr>
          <w:rFonts w:hint="eastAsia" w:hAnsi="Cambria Math" w:cs="Times New Roman"/>
          <w:i w:val="0"/>
          <w:lang w:val="en-US" w:eastAsia="zh-CN"/>
        </w:rPr>
        <w:t xml:space="preserve"> {key81} </w:t>
      </w:r>
      <m:oMath>
        <m:r>
          <m:rPr>
            <m:sty m:val="p"/>
          </m:rPr>
          <w:rPr>
            <w:rFonts w:ascii="Cambria Math" w:hAnsi="Cambria Math" w:cs="Times New Roman"/>
          </w:rPr>
          <m:t>m/s</m:t>
        </m:r>
      </m:oMath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20F09CB"/>
    <w:rsid w:val="02C32E43"/>
    <w:rsid w:val="03C95B1E"/>
    <w:rsid w:val="04137DFA"/>
    <w:rsid w:val="05545FD4"/>
    <w:rsid w:val="07AB4175"/>
    <w:rsid w:val="08F655F4"/>
    <w:rsid w:val="0A9450C5"/>
    <w:rsid w:val="0B316DB7"/>
    <w:rsid w:val="0C5B40EC"/>
    <w:rsid w:val="0C654F6B"/>
    <w:rsid w:val="0CF57D29"/>
    <w:rsid w:val="0E0D7668"/>
    <w:rsid w:val="0FFC7994"/>
    <w:rsid w:val="12466EEF"/>
    <w:rsid w:val="13F05194"/>
    <w:rsid w:val="14935A24"/>
    <w:rsid w:val="16ED47B4"/>
    <w:rsid w:val="194B39EF"/>
    <w:rsid w:val="19B80DD0"/>
    <w:rsid w:val="19EC2827"/>
    <w:rsid w:val="1C0B1542"/>
    <w:rsid w:val="25407ECB"/>
    <w:rsid w:val="258204E4"/>
    <w:rsid w:val="2762237B"/>
    <w:rsid w:val="2D6A01DB"/>
    <w:rsid w:val="2E7221A8"/>
    <w:rsid w:val="2EC2522B"/>
    <w:rsid w:val="30654C8A"/>
    <w:rsid w:val="32B36180"/>
    <w:rsid w:val="32EB76C8"/>
    <w:rsid w:val="33712C33"/>
    <w:rsid w:val="337B6D0E"/>
    <w:rsid w:val="35487054"/>
    <w:rsid w:val="370C40B1"/>
    <w:rsid w:val="38276C57"/>
    <w:rsid w:val="3F823162"/>
    <w:rsid w:val="3FAC01DF"/>
    <w:rsid w:val="4E451F2B"/>
    <w:rsid w:val="4E6C5BD4"/>
    <w:rsid w:val="55823A64"/>
    <w:rsid w:val="575B5553"/>
    <w:rsid w:val="5A2C0443"/>
    <w:rsid w:val="5AAF6DFC"/>
    <w:rsid w:val="5B7D7A78"/>
    <w:rsid w:val="5BF47BAB"/>
    <w:rsid w:val="5C3F26AF"/>
    <w:rsid w:val="5CCC1A69"/>
    <w:rsid w:val="63BE20DB"/>
    <w:rsid w:val="63C03819"/>
    <w:rsid w:val="68BB30BE"/>
    <w:rsid w:val="68E72104"/>
    <w:rsid w:val="69BD3298"/>
    <w:rsid w:val="6B086362"/>
    <w:rsid w:val="6B454EC0"/>
    <w:rsid w:val="6B6537B4"/>
    <w:rsid w:val="6FAB550E"/>
    <w:rsid w:val="740C2DE4"/>
    <w:rsid w:val="751A5150"/>
    <w:rsid w:val="78177BE5"/>
    <w:rsid w:val="7AC51B7A"/>
    <w:rsid w:val="7EB26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2025-04-17T09:16:41Z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70AC459BD5EC4B4C8984E2F96B1233B5_12</vt:lpwstr>
  </property>
</Properties>
</file>