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716328">
      <w:pPr>
        <w:pStyle w:val="2"/>
        <w:numPr>
          <w:numId w:val="0"/>
        </w:numPr>
        <w:spacing w:before="166" w:after="166"/>
        <w:ind w:leftChars="0"/>
      </w:pPr>
      <w:r>
        <w:rPr>
          <w:rFonts w:hint="eastAsia"/>
        </w:rPr>
        <w:t>臭氧活性炭</w:t>
      </w:r>
    </w:p>
    <w:p w14:paraId="39FE0A30">
      <w:pPr>
        <w:pStyle w:val="3"/>
        <w:numPr>
          <w:numId w:val="0"/>
        </w:numPr>
        <w:spacing w:before="166" w:after="166"/>
        <w:ind w:leftChars="0"/>
      </w:pPr>
      <w:r>
        <w:rPr>
          <w:rFonts w:hint="eastAsia"/>
        </w:rPr>
        <w:t>单元功能</w:t>
      </w:r>
    </w:p>
    <w:p w14:paraId="7971F7C1">
      <w:pPr>
        <w:ind w:firstLine="480"/>
      </w:pPr>
      <w:r>
        <w:rPr>
          <w:rFonts w:hint="eastAsia"/>
        </w:rPr>
        <w:t>（1）臭氧的水处理功能</w:t>
      </w:r>
    </w:p>
    <w:p w14:paraId="07823199">
      <w:pPr>
        <w:ind w:firstLine="480"/>
      </w:pPr>
      <w:r>
        <w:rPr>
          <w:rFonts w:hint="eastAsia"/>
        </w:rPr>
        <w:t>臭氧在水处理中的应用开始于1905年，目前在发达国家作为消毒剂已经达到普及程度。随着研究、应用的不断深入，水处理中臭氧的使用范围越来越广，如污染物的氧化与分解、脱色、除嗅、灭藻、除铁、除锰、除硫化物、除酚除氰、除农药、除致癌物、分解表面活性剂以及降低水中有机物含量等。它还能使原水中溶解性有机物产生微凝聚作用，强化水的澄清、沉淀和过滤效果，提高出水水质，节省消毒剂用量。</w:t>
      </w:r>
    </w:p>
    <w:p w14:paraId="2AF2BD89">
      <w:pPr>
        <w:ind w:firstLine="480"/>
      </w:pPr>
      <w:r>
        <w:rPr>
          <w:rFonts w:hint="eastAsia"/>
        </w:rPr>
        <w:t>臭氧在微污水源水处理中可用作预处理，深度处理以及和其他处理技术联合使用作为预处理或深度处理的手段，如紫外线臭氧、臭氧-生物处理等联用工艺。</w:t>
      </w:r>
    </w:p>
    <w:p w14:paraId="12DB88DF">
      <w:pPr>
        <w:ind w:firstLine="480"/>
      </w:pPr>
      <w:r>
        <w:rPr>
          <w:rFonts w:hint="eastAsia"/>
        </w:rPr>
        <w:t>因为臭氧在氧化水中蛋白质、氮基酸、有机胺、木质素、腐殖质等有机物的过程中会产生一些中间产物，如果这些中间产物没有被彻底氧化，水的BOD、COD指标就会升高。而用臭氧氧化全部有机物不经济。故臭氧预处理或深度处理的目的是部分氧化有机物，去除水中色、嗅、味，强化混凝沉淀效果。</w:t>
      </w:r>
    </w:p>
    <w:p w14:paraId="3D7464D9">
      <w:pPr>
        <w:ind w:firstLine="480"/>
      </w:pPr>
      <w:r>
        <w:rPr>
          <w:rFonts w:hint="eastAsia"/>
        </w:rPr>
        <w:t>（2）臭氧与生物处理联用的工艺</w:t>
      </w:r>
    </w:p>
    <w:p w14:paraId="7DC5DBAB">
      <w:pPr>
        <w:ind w:firstLine="480"/>
      </w:pPr>
      <w:r>
        <w:rPr>
          <w:rFonts w:hint="eastAsia"/>
        </w:rPr>
        <w:t>臭氧与生物处理联用处理微污染水源水用于实际工程的工艺有臭氧-煤/砂滤池、臭氧-慢滤池、臭氧-生物活性炭、臭氧-土壤渗滤。其中的臭氧-生物活性炭联合处理工艺效率高，出水水质好，发达国家的水处理工程采用较多。我国的一些水厂也相继采用这一工艺进行微污染水源水的深度处理。</w:t>
      </w:r>
    </w:p>
    <w:p w14:paraId="62528048">
      <w:pPr>
        <w:ind w:firstLine="480"/>
      </w:pPr>
      <w:r>
        <w:rPr>
          <w:rFonts w:hint="eastAsia"/>
        </w:rPr>
        <w:t>在生物处理之前投加臭氧，不仅可以依靠臭氧极强的氧化能力，部分氧化水中有机物，尤其是生物氧化不能去除的有机物，还能使水中的有机物分子量减小，提高水中有机物的可生化性。另外，臭氧分解使水中溶解氧的含量增加，供后续生物炭滤池进行生化反应时所需的氧量。后续的生物活性炭处理单元在活性炭吸附、炭粒表面生长的生物膜的生物吸附和生物氧化降解作用下使水中有机物含量进一步降低。臭氧-生物活性炭联合处理工艺能显著提高活性炭除污能力，延长活性炭使用周期。</w:t>
      </w:r>
    </w:p>
    <w:p w14:paraId="3E788773">
      <w:pPr>
        <w:ind w:firstLine="480"/>
      </w:pPr>
      <w:r>
        <w:rPr>
          <w:rFonts w:hint="eastAsia"/>
        </w:rPr>
        <w:t>（3）臭氧使用中的问题</w:t>
      </w:r>
    </w:p>
    <w:p w14:paraId="350F151A">
      <w:pPr>
        <w:ind w:firstLine="480"/>
      </w:pPr>
      <w:r>
        <w:rPr>
          <w:rFonts w:hint="eastAsia"/>
        </w:rPr>
        <w:t>臭氧的使用也会带来一些问题，如臭氧发生设备复杂，能耗高，占地面积大；投加臭氧时气味大，工作条件差，影响周围环境；臭氧的强氧化性使车间的钢、铁、塑料制品受到腐蚀、老化。</w:t>
      </w:r>
    </w:p>
    <w:p w14:paraId="655BE6FD">
      <w:pPr>
        <w:ind w:firstLine="480"/>
      </w:pPr>
      <w:r>
        <w:rPr>
          <w:rFonts w:hint="eastAsia"/>
        </w:rPr>
        <w:t>（4）臭氧和生物活性炭的技术参数</w:t>
      </w:r>
    </w:p>
    <w:p w14:paraId="4B8FBAA1">
      <w:pPr>
        <w:ind w:firstLine="480"/>
      </w:pPr>
      <w:r>
        <w:t>1</w:t>
      </w:r>
      <w:r>
        <w:rPr>
          <w:rFonts w:hint="eastAsia"/>
        </w:rPr>
        <w:t>）臭氧</w:t>
      </w:r>
    </w:p>
    <w:p w14:paraId="3D89ADA2">
      <w:pPr>
        <w:ind w:firstLine="480"/>
      </w:pPr>
      <w:r>
        <w:rPr>
          <w:rFonts w:hint="eastAsia"/>
        </w:rPr>
        <w:t>①臭氧作为预处理手段，用于除臭、味时，臭氧投量为1～2.5mg/L，接触时间&gt;1min；脱色时，臭氧投量为2.5～3.5mg/L，接触时间&gt;5min；除铁、锰时，臭氧投量为0.5～2mg/L，接触时间&gt;1min；去除有机物时，臭氧投量为1～3mg/L，接触时间&gt;5min；去除CN-时，臭氧投量为2～4mg/L，接触时间&gt;3min；去除ABS时，臭氧投量为2～3mg/L，接触时间&gt;10min；去除酚时，臭氧投量为1～3mg/L，接触时间&gt;10min。</w:t>
      </w:r>
    </w:p>
    <w:p w14:paraId="010C6DCA">
      <w:pPr>
        <w:ind w:firstLine="480"/>
      </w:pPr>
      <w:r>
        <w:rPr>
          <w:rFonts w:hint="eastAsia"/>
        </w:rPr>
        <w:t>②臭氧作为深度处理手段，投量为0.5～1.0mg/L。</w:t>
      </w:r>
    </w:p>
    <w:p w14:paraId="41E1BCEB">
      <w:pPr>
        <w:ind w:firstLine="480"/>
      </w:pPr>
      <w:r>
        <w:rPr>
          <w:rFonts w:hint="eastAsia"/>
        </w:rPr>
        <w:t>③臭氧-生物活性炭联合处理工艺中，臭氧投量为0.5～1.5mg/L。</w:t>
      </w:r>
    </w:p>
    <w:p w14:paraId="2C619D20">
      <w:pPr>
        <w:ind w:firstLine="480"/>
      </w:pPr>
      <w:r>
        <w:rPr>
          <w:rFonts w:hint="eastAsia"/>
        </w:rPr>
        <w:t>④臭氧在水中的半衰期为20min左右，在没有试验数据时，设计氧化接触时间一般采用5～15min。</w:t>
      </w:r>
    </w:p>
    <w:p w14:paraId="0B3C31A7">
      <w:pPr>
        <w:ind w:firstLine="480"/>
      </w:pPr>
      <w:r>
        <w:t>2</w:t>
      </w:r>
      <w:r>
        <w:rPr>
          <w:rFonts w:hint="eastAsia"/>
        </w:rPr>
        <w:t>）生物活性炭</w:t>
      </w:r>
    </w:p>
    <w:p w14:paraId="4437A289">
      <w:pPr>
        <w:ind w:firstLine="480"/>
      </w:pPr>
      <w:r>
        <w:rPr>
          <w:rFonts w:hint="eastAsia"/>
        </w:rPr>
        <w:t>①在生物活性炭前不能进行预氯化处理，否则微生物不能生长，因而失去生物活性炭的生物氧化作用。</w:t>
      </w:r>
    </w:p>
    <w:p w14:paraId="1976C4E6">
      <w:pPr>
        <w:ind w:firstLine="480" w:firstLineChars="0"/>
      </w:pPr>
      <w:r>
        <w:rPr>
          <w:rFonts w:hint="eastAsia"/>
        </w:rPr>
        <w:t>②生物活性炭滤池的滤速5～10m/h，炭床高2～4m，空床接触时间12～40min，高径比(炭床高与半径比)2～4，炭粒径0.3～2.0mm，反冲洗强度10～16L/(s·m²)，气体反冲洗强度5～9L/(s·m²)，反冲洗时间12～20min，反冲洗周期3～35h，反冲洗膨胀率30%～50%。</w:t>
      </w:r>
    </w:p>
    <w:p w14:paraId="0511B0A3">
      <w:pPr>
        <w:ind w:firstLine="480" w:firstLineChars="0"/>
      </w:pPr>
      <w:r>
        <w:rPr>
          <w:rFonts w:hint="eastAsia"/>
        </w:rPr>
        <w:t>③生物活性炭的处理效果受水温影响，当水温低于0℃时更明显。</w:t>
      </w:r>
    </w:p>
    <w:p w14:paraId="1B51629E">
      <w:pPr>
        <w:ind w:firstLine="480" w:firstLineChars="0"/>
      </w:pPr>
      <w:r>
        <w:rPr>
          <w:rFonts w:hint="eastAsia"/>
        </w:rPr>
        <w:t>④由于活性炭表面生长的生物膜的生物净化作用，显著提高了活性炭的工作周期。生物活性炭法比单独使用活性炭的周期增加了2</w:t>
      </w:r>
      <w:r>
        <w:t>~</w:t>
      </w:r>
      <w:r>
        <w:rPr>
          <w:rFonts w:hint="eastAsia"/>
        </w:rPr>
        <w:t>9倍。</w:t>
      </w:r>
    </w:p>
    <w:p w14:paraId="380716DE">
      <w:pPr>
        <w:pStyle w:val="3"/>
        <w:numPr>
          <w:numId w:val="0"/>
        </w:numPr>
        <w:spacing w:before="166" w:after="166"/>
        <w:ind w:leftChars="0"/>
      </w:pPr>
      <w:r>
        <w:rPr>
          <w:rFonts w:hint="eastAsia"/>
        </w:rPr>
        <w:t>设计参数</w:t>
      </w:r>
    </w:p>
    <w:p w14:paraId="33683B1C">
      <w:pPr>
        <w:ind w:firstLine="480"/>
      </w:pPr>
      <w:r>
        <w:rPr>
          <w:rFonts w:hint="eastAsia"/>
        </w:rPr>
        <w:t>处理水量Q=</w:t>
      </w:r>
      <w:r>
        <w:rPr>
          <w:rFonts w:hint="eastAsia"/>
          <w:lang w:val="en-US" w:eastAsia="zh-CN"/>
        </w:rPr>
        <w:t>{key1}</w:t>
      </w:r>
      <w:r>
        <w:t xml:space="preserve"> m</w:t>
      </w:r>
      <w:r>
        <w:rPr>
          <w:vertAlign w:val="superscript"/>
        </w:rPr>
        <w:t>3</w:t>
      </w:r>
      <w:r>
        <w:t>/</w:t>
      </w:r>
      <w:r>
        <w:rPr>
          <w:rFonts w:hint="eastAsia"/>
        </w:rPr>
        <w:t>d</w:t>
      </w:r>
      <w:r>
        <w:t>=</w:t>
      </w:r>
      <w:r>
        <w:rPr>
          <w:rFonts w:hint="eastAsia"/>
          <w:lang w:val="en-US" w:eastAsia="zh-CN"/>
        </w:rPr>
        <w:t>{key2}</w:t>
      </w:r>
      <w:r>
        <w:t xml:space="preserve"> m</w:t>
      </w:r>
      <w:r>
        <w:rPr>
          <w:vertAlign w:val="superscript"/>
        </w:rPr>
        <w:t>3</w:t>
      </w:r>
      <w:r>
        <w:t>/h</w:t>
      </w:r>
      <w:bookmarkStart w:id="0" w:name="_GoBack"/>
      <w:bookmarkEnd w:id="0"/>
    </w:p>
    <w:p w14:paraId="6A548D4B">
      <w:pPr>
        <w:ind w:firstLine="480"/>
      </w:pPr>
      <w:r>
        <w:rPr>
          <w:rFonts w:hint="eastAsia"/>
        </w:rPr>
        <w:t>臭氧投加量a</w:t>
      </w:r>
      <w:r>
        <w:t xml:space="preserve">= </w:t>
      </w:r>
      <w:r>
        <w:rPr>
          <w:rFonts w:hint="eastAsia"/>
          <w:lang w:val="en-US" w:eastAsia="zh-CN"/>
        </w:rPr>
        <w:t>{key3}</w:t>
      </w:r>
      <w:r>
        <w:t xml:space="preserve"> </w:t>
      </w:r>
      <w:r>
        <w:rPr>
          <w:rFonts w:hint="eastAsia"/>
        </w:rPr>
        <w:t>kg</w:t>
      </w:r>
      <w:r>
        <w:t>/m</w:t>
      </w:r>
      <w:r>
        <w:rPr>
          <w:vertAlign w:val="superscript"/>
        </w:rPr>
        <w:t>3</w:t>
      </w:r>
    </w:p>
    <w:p w14:paraId="5AC3C2AC">
      <w:pPr>
        <w:ind w:firstLine="480"/>
        <w:rPr>
          <w:rFonts w:hint="default" w:eastAsia="宋体"/>
          <w:lang w:val="en-US" w:eastAsia="zh-CN"/>
        </w:rPr>
      </w:pPr>
      <w:r>
        <w:rPr>
          <w:rFonts w:hint="eastAsia"/>
        </w:rPr>
        <w:t>安全系数k</w:t>
      </w:r>
      <w:r>
        <w:t>=</w:t>
      </w:r>
      <w:r>
        <w:rPr>
          <w:rFonts w:hint="eastAsia"/>
          <w:lang w:val="en-US" w:eastAsia="zh-CN"/>
        </w:rPr>
        <w:t>{key4}</w:t>
      </w:r>
    </w:p>
    <w:p w14:paraId="556B43DA">
      <w:pPr>
        <w:ind w:firstLine="480"/>
      </w:pPr>
      <w:r>
        <w:rPr>
          <w:rFonts w:hint="eastAsia"/>
        </w:rPr>
        <w:t>臭氧实际利用率η=</w:t>
      </w:r>
      <w:r>
        <w:rPr>
          <w:rFonts w:hint="eastAsia"/>
          <w:lang w:val="en-US" w:eastAsia="zh-CN"/>
        </w:rPr>
        <w:t xml:space="preserve">{key5} </w:t>
      </w:r>
      <w:r>
        <w:t>%</w:t>
      </w:r>
    </w:p>
    <w:p w14:paraId="58739EFE">
      <w:pPr>
        <w:ind w:firstLine="480"/>
      </w:pPr>
      <w:r>
        <w:rPr>
          <w:rFonts w:hint="eastAsia"/>
        </w:rPr>
        <w:t>臭氧接触池水力停留时间T</w:t>
      </w:r>
      <w:r>
        <w:t>=</w:t>
      </w:r>
      <w:r>
        <w:rPr>
          <w:rFonts w:hint="eastAsia"/>
          <w:lang w:val="en-US" w:eastAsia="zh-CN"/>
        </w:rPr>
        <w:t xml:space="preserve">{key6} </w:t>
      </w:r>
      <w:r>
        <w:rPr>
          <w:rFonts w:hint="eastAsia"/>
        </w:rPr>
        <w:t>min</w:t>
      </w:r>
    </w:p>
    <w:p w14:paraId="0527D7AC">
      <w:pPr>
        <w:ind w:firstLine="480"/>
      </w:pPr>
      <w:r>
        <w:rPr>
          <w:rFonts w:hint="eastAsia"/>
        </w:rPr>
        <w:t>臭氧化气浓度 Y</w:t>
      </w:r>
      <w:r>
        <w:t>=</w:t>
      </w:r>
      <w:r>
        <w:rPr>
          <w:rFonts w:hint="eastAsia"/>
          <w:lang w:val="en-US" w:eastAsia="zh-CN"/>
        </w:rPr>
        <w:t xml:space="preserve">{key7} </w:t>
      </w:r>
      <w:r>
        <w:rPr>
          <w:rFonts w:hint="eastAsia"/>
        </w:rPr>
        <w:t>g</w:t>
      </w:r>
      <w:r>
        <w:t>/m</w:t>
      </w:r>
      <w:r>
        <w:rPr>
          <w:vertAlign w:val="superscript"/>
        </w:rPr>
        <w:t>3</w:t>
      </w:r>
    </w:p>
    <w:p w14:paraId="226BA26D"/>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0C41CF"/>
    <w:multiLevelType w:val="multilevel"/>
    <w:tmpl w:val="350C41CF"/>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3"/>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zMjUwMGQ2Y2VmNmNhYmU0MTJmMzU4ZGZkZDc3ZjYifQ=="/>
  </w:docVars>
  <w:rsids>
    <w:rsidRoot w:val="00000000"/>
    <w:rsid w:val="1F3561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imes New Roman" w:hAnsi="Times New Roman" w:eastAsia="宋体" w:cstheme="minorBidi"/>
      <w:kern w:val="2"/>
      <w:sz w:val="24"/>
      <w:szCs w:val="21"/>
      <w:lang w:val="en-US" w:eastAsia="zh-CN" w:bidi="ar-SA"/>
    </w:rPr>
  </w:style>
  <w:style w:type="paragraph" w:styleId="2">
    <w:name w:val="heading 2"/>
    <w:next w:val="1"/>
    <w:unhideWhenUsed/>
    <w:qFormat/>
    <w:uiPriority w:val="0"/>
    <w:pPr>
      <w:keepNext/>
      <w:keepLines/>
      <w:numPr>
        <w:ilvl w:val="1"/>
        <w:numId w:val="1"/>
      </w:numPr>
      <w:spacing w:before="50" w:beforeLines="50" w:after="50" w:afterLines="50"/>
      <w:outlineLvl w:val="1"/>
    </w:pPr>
    <w:rPr>
      <w:rFonts w:asciiTheme="minorHAnsi" w:hAnsiTheme="minorHAnsi" w:eastAsiaTheme="minorEastAsia" w:cstheme="majorBidi"/>
      <w:b/>
      <w:bCs/>
      <w:kern w:val="2"/>
      <w:sz w:val="30"/>
      <w:szCs w:val="32"/>
      <w:lang w:val="en-US" w:eastAsia="zh-CN" w:bidi="ar-SA"/>
    </w:rPr>
  </w:style>
  <w:style w:type="paragraph" w:styleId="3">
    <w:name w:val="heading 3"/>
    <w:next w:val="1"/>
    <w:unhideWhenUsed/>
    <w:qFormat/>
    <w:uiPriority w:val="0"/>
    <w:pPr>
      <w:keepNext/>
      <w:keepLines/>
      <w:numPr>
        <w:ilvl w:val="2"/>
        <w:numId w:val="1"/>
      </w:numPr>
      <w:spacing w:before="50" w:beforeLines="50" w:after="50" w:afterLines="50"/>
      <w:outlineLvl w:val="2"/>
    </w:pPr>
    <w:rPr>
      <w:rFonts w:asciiTheme="minorHAnsi" w:hAnsiTheme="minorHAnsi" w:eastAsiaTheme="minorEastAsia" w:cstheme="minorBidi"/>
      <w:b/>
      <w:bCs/>
      <w:kern w:val="2"/>
      <w:sz w:val="28"/>
      <w:szCs w:val="32"/>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G003247</dc:creator>
  <cp:lastModifiedBy>夂夂鱼</cp:lastModifiedBy>
  <dcterms:modified xsi:type="dcterms:W3CDTF">2024-09-06T06:13:23Z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B814B791EE554296AEB6D171DCBE53EC_12</vt:lpwstr>
  </property>
</Properties>
</file>