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ahahha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jajaja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