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SUGENG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SURABAYA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