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PASANG SURUT</w:t>
      </w:r>
    </w:p>
    <w:p>
      <w:pPr>
        <w:pStyle w:val="Heading1"/>
      </w:pPr>
      <w:r>
        <w:t>Addendum validasi data — 25 September 2026</w:t>
      </w:r>
    </w:p>
    <w:p>
      <w:r>
        <w:t>Tim trio la albiceleste • ITS Surabaya. Melengkapi proposal yang telah disubmit; bukan penggantian arsip proposal.</w:t>
      </w:r>
    </w:p>
    <w:p>
      <w:pPr>
        <w:pStyle w:val="Heading2"/>
      </w:pPr>
      <w:r>
        <w:t>Asal dan umur masukan</w:t>
      </w:r>
    </w:p>
    <w:p>
      <w:r>
        <w:t>Produksi memakai kerentanan_v1. Jalan: ekstrak OSM, graf dibuat 24 Agustus 2026, 19.394 sisi berarah. Pasut: tujuh konstanta dari Rachman dkk. (2015), pengamatan 13–27 Maret 2014 di pesisir Semarang. Elevasi: DEMNAS BIG tile 1409-22; tahun akuisisi belum terverifikasi. Subsidensi: Rahmawati dkk. (2020), 13 citra 2015–2018, rata-rata kecamatan. Indeks dihitung 19 September 2026; tanggal perhitungan tidak memperbarui umur masukan.</w:t>
      </w:r>
    </w:p>
    <w:p>
      <w:pPr>
        <w:pStyle w:val="Heading2"/>
      </w:pPr>
      <w:r>
        <w:t>Bukti baru pasut</w:t>
      </w:r>
    </w:p>
    <w:p>
      <w:r>
        <w:t>Pengamatan IOC/VLIZ sema, sensor tekanan, 18–25 September 2026: 10.020 rekaman. Model serta offset +7 jam dibekukan. Korelasi 0,8340; RMSE simpangan 12,44 cm; MAE 10,32 cm. Datum berbeda sehingga masing-masing deret dikurangi rata-rata. Data IOC belum melalui quality control; jendela tujuh hari tidak mewakili seluruh musim. Korelasi bukan persentase akurasi, dan metrik ini tidak berlaku untuk genangan ruas.</w:t>
      </w:r>
    </w:p>
    <w:p>
      <w:pPr>
        <w:pStyle w:val="Heading2"/>
      </w:pPr>
      <w:r>
        <w:t>Batas genangan dan contoh</w:t>
      </w:r>
    </w:p>
    <w:p>
      <w:r>
        <w:t>Indeks berbobot sama dari elevasi relatif, jarak pantai, dan subsidensi; proporsi puncak 10% serta kedalaman 10–50 cm masih asumsi. Sampel DB: Jalan Tanggungrejo Raya pada 26 September 08.00 WIB memiliki indeks 0,9802 dan estimasi 39 cm. Angka tersebut bukan peluang 98,02% atau pengukuran lapangan. Hujan, pompa/polder/tanggul dan debit sungai belum masuk rumus aktif. Model Sentinel-1 ditolak; akurasi genangan per ruas belum tersedia.</w:t>
      </w:r>
    </w:p>
    <w:p>
      <w:pPr>
        <w:pStyle w:val="Heading2"/>
      </w:pPr>
      <w:r>
        <w:t>Masa berlaku dan keberlanjutan</w:t>
      </w:r>
    </w:p>
    <w:p>
      <w:r>
        <w:t>API produksi memiliki data sampai batas eksklusif 5 Oktober 2026 07.00 WIB; potret lokal sampai 29 September 00.00 WIB. Jadwal khusus VPS yang ditemukan hanya backup; workflow memantau kesehatan/cakupan, belum menerbitkan data baru. Pengoperasian sampai 2029 membutuhkan pipeline bergulir, mutu dan izin sumber, validasi lapangan, pembaruan masukan spasial, monitoring serta penanggung jawab data.</w:t>
      </w:r>
    </w:p>
    <w:p>
      <w:pPr>
        <w:pStyle w:val="Heading2"/>
      </w:pPr>
      <w:r>
        <w:t>Rujukan dan pekerjaan tersisa</w:t>
      </w:r>
    </w:p>
    <w:p>
      <w:r>
        <w:t>Laporan beserta tautan primer: docs/final/audit_asal_data_25_september.md. CSV pengamatan, sampel produksi dan grafik: docs/final/data/. Model/aplikasi/produksi tidak diubah. PPT/video perlu menyatakan prototipe dan batas validasi ini; uji pasut baru bukan pengganti observasi genangan. Tim perlu memperoleh data lapangan dan pengamatan bermutu dari instansi, serta menyiapkan pembaruan sebelum cakupan berakhir.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