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PASANG SURUT: addendum audit final</w:t>
      </w:r>
    </w:p>
    <w:p>
      <w:r>
        <w:t>22 September 2026 | trio la albiceleste | Lampiran koreksi, bukan pengganti proposal yang telah dikumpulkan.</w:t>
      </w:r>
    </w:p>
    <w:p>
      <w:pPr>
        <w:pStyle w:val="Heading1"/>
      </w:pPr>
      <w:r>
        <w:t>Implementasi dan bukti</w:t>
      </w:r>
    </w:p>
    <w:p>
      <w:r>
        <w:t>API dan frontend berjalan di VPS dengan pintu masuk Vercel. Landing di /, aplikasi peta di /app. Layanan Maknaprice dipertahankan.</w:t>
      </w:r>
    </w:p>
    <w:p>
      <w:r>
        <w:t>95 tes backend Windows/Linux dan 25 tes frontend lulus. Tes routing mencakup 2.400 perbandingan pada 40 graf kecil. Uji tambahan VPS: 412 request, tanpa galat tak terduga; overload dan input tidak sah ditolak terkontrol.</w:t>
      </w:r>
    </w:p>
    <w:p>
      <w:r>
        <w:t>Perbaikan meliputi validasi data rusak, keselarasan versi, batas body/waktu request, cache jaringan, makna hasil rute, saran jam, retry tujuan cepat, kegagalan WebGL, serta validasi URL landing. MapLibre diperbarui ke 6.4.1.</w:t>
      </w:r>
    </w:p>
    <w:p>
      <w:pPr>
        <w:pStyle w:val="Heading1"/>
      </w:pPr>
      <w:r>
        <w:t>Koreksi klaim metode</w:t>
      </w:r>
    </w:p>
    <w:p>
      <w:pPr>
        <w:pStyle w:val="ListBullet"/>
      </w:pPr>
      <w:r>
        <w:t>Elevasi relatif menggunakan median pada 3 x 3 sel dengan sisi 500 m, bukan radius melingkar 500 m.</w:t>
      </w:r>
    </w:p>
    <w:p>
      <w:pPr>
        <w:pStyle w:val="ListBullet"/>
      </w:pPr>
      <w:r>
        <w:t>Routing mempertahankan kondisi jam keberangkatan sepanjang pencarian. Perubahan genangan selama perjalanan belum dimodelkan.</w:t>
      </w:r>
    </w:p>
    <w:p>
      <w:pPr>
        <w:pStyle w:val="ListBullet"/>
      </w:pPr>
      <w:r>
        <w:t>Evaluasi pasut tidak mengukur akurasi genangan per ruas. Indeks kerentanan belum mempunyai validasi lapangan yang memadai.</w:t>
      </w:r>
    </w:p>
    <w:p>
      <w:pPr>
        <w:pStyle w:val="ListBullet"/>
      </w:pPr>
      <w:r>
        <w:t>Biaya BBM dan CO2 adalah ilustrasi berdasarkan asumsi faktor konsumsi/pembakaran. Bukan dampak lapangan terukur, inventaris CO2e, atau analisis daur hidup.</w:t>
      </w:r>
    </w:p>
    <w:p>
      <w:pPr>
        <w:pStyle w:val="Heading1"/>
      </w:pPr>
      <w:r>
        <w:t>Final dan batas kesiapan</w:t>
      </w:r>
    </w:p>
    <w:p>
      <w:r>
        <w:t>TM selesai. Tim tampil pertama: 10 menit presentasi dan 15 menit tanya jawab. Deadline PDF belum diinformasikan. Outline delapan slide tersedia; PPTX/PDF final, video cadangan, dan latihan proyektor masih harus diselesaikan tim.</w:t>
      </w:r>
    </w:p>
    <w:p>
      <w:r>
        <w:t>Bukti lengkap dan batas pengujian: docs/final/audit_regresi_22_september.md serta docs/final/bukti/. Jumlah halaman diperiksa terpisah dengan Word; angka akurasi baru tidak dibuat dalam addendum ini.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