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Мебельная мастерская «Дубрава» — каталог столов</w:t>
      </w:r>
    </w:p>
    <w:p>
      <w:r>
        <w:t>Мастерская «Дубрава» работает с 2014 года. Собственное производство в Обнинске, показ образцов по адресу улица Курчатова, дом 41. Режим работы: будни с 9:00 до 19:00, суббота с 10:00 до 17:00, воскресенье выходной. Телефон 8 (484) 555-27-40.</w:t>
      </w:r>
    </w:p>
    <w:p>
      <w:pPr>
        <w:pStyle w:val="Heading1"/>
      </w:pPr>
      <w:r>
        <w:t>Модельный ряд</w:t>
      </w:r>
    </w:p>
    <w:p>
      <w:r>
        <w:t>Обеденный стол «Массив-1». Столешница из цельного массива дуба толщиной 40 мм, подстолье — сталь с порошковой окраской. Размеры 1600×900 мм, высота 750 мм. Рассчитан на шесть персон. Цена 68 400 рублей.</w:t>
      </w:r>
    </w:p>
    <w:p>
      <w:r>
        <w:t>Обеденный стол «Массив-2». Тот же массив дуба, размеры 2000×1000 мм, восемь персон. Цена 89 900 рублей. Возможна установка дополнительной центральной опоры при длине от 2200 мм.</w:t>
      </w:r>
    </w:p>
    <w:p>
      <w:r>
        <w:t>Раздвижной стол «Гармония». Столешница из шпонированного МДФ, механизм-бабочка. В сложенном виде 1200×800 мм, в разложенном 1600×800 мм. Высота 750 мм. Цена 42 700 рублей.</w:t>
      </w:r>
    </w:p>
    <w:p>
      <w:r>
        <w:t>Журнальный стол «Тайга». Слэб карагача с эпоксидной заливкой, ножки-шпильки из латуни. Размеры 1100×550 мм, высота 420 мм. Каждое изделие уникально по рисунку. Цена 51 200 рублей.</w:t>
      </w:r>
    </w:p>
    <w:p>
      <w:r>
        <w:t>Письменный стол «Кабинет». Столешница из ясеня, два выдвижных ящика на скрытых направляющих с доводчиком, кабель-канал. Размеры 1400×700 мм, высота 750 мм. Цена 57 800 рублей.</w:t>
      </w:r>
    </w:p>
    <w:p>
      <w:r>
        <w:t>Барный стол «Лофт». Столешница дуб 40 мм, основание — труба 80×80 мм, чёрная эмаль. Размеры 1200×600 мм, высота 1100 мм. Цена 46 300 рублей.</w:t>
      </w:r>
    </w:p>
    <w:p>
      <w:pPr>
        <w:pStyle w:val="Heading1"/>
      </w:pPr>
      <w:r>
        <w:t>Материалы</w:t>
      </w:r>
    </w:p>
    <w:p>
      <w:r>
        <w:t>Дуб — основной материал мастерской. Влажность древесины после камерной сушки 8–10 процентов. Твёрдость по Бринеллю 3,7. Подходит для повседневной эксплуатации, включая кухню.</w:t>
      </w:r>
    </w:p>
    <w:p>
      <w:r>
        <w:t>Ясень светлее дуба, твёрдость 4,0, выраженный рисунок волокна. Дороже дуба примерно на восемь процентов.</w:t>
      </w:r>
    </w:p>
    <w:p>
      <w:r>
        <w:t>Карагач используется только для слэбов. Материал штучный, повторить рисунок невозможно.</w:t>
      </w:r>
    </w:p>
    <w:p>
      <w:r>
        <w:t>Шпонированный МДФ применяется в раздвижных моделях: он стабильнее массива при частой смене геометрии и не ведёт механизм.</w:t>
      </w:r>
    </w:p>
    <w:p>
      <w:pPr>
        <w:pStyle w:val="Heading1"/>
      </w:pPr>
      <w:r>
        <w:t>Покрытия</w:t>
      </w:r>
    </w:p>
    <w:p>
      <w:r>
        <w:t>Масло-воск Osmo — базовое покрытие, входит в стоимость. Подчёркивает текстуру, ремонтопригодно локально, обновляется раз в полтора-два года.</w:t>
      </w:r>
    </w:p>
    <w:p>
      <w:r>
        <w:t>Полиуретановый лак — дополнительно 6 000 рублей. Плёнка устойчива к воде и вину, но при повреждении требует перешлифовки всей столешницы.</w:t>
      </w:r>
    </w:p>
    <w:p>
      <w:r>
        <w:t>Тонирование в семь оттенков, от «натурального» до «венге» — дополнительно 4 500 рублей.</w:t>
      </w:r>
    </w:p>
    <w:p>
      <w:pPr>
        <w:pStyle w:val="Heading1"/>
      </w:pPr>
      <w:r>
        <w:t>Индивидуальный заказ</w:t>
      </w:r>
    </w:p>
    <w:p>
      <w:r>
        <w:t>Изготавливаем по размерам заказчика. Максимальная длина цельной столешницы 3200 мм, ширина 1200 мм. Свыше этих величин столешница выполняется из двух сращённых частей.</w:t>
      </w:r>
    </w:p>
    <w:p>
      <w:r>
        <w:t>Наценка за нестандартный размер 15 процентов от базовой цены модели. Эскиз и расчёт бесплатны, срок подготовки до трёх рабочих дней.</w:t>
      </w:r>
    </w:p>
    <w:p>
      <w:pPr>
        <w:pStyle w:val="Heading1"/>
      </w:pPr>
      <w:r>
        <w:t>Сроки и оплата</w:t>
      </w:r>
    </w:p>
    <w:p>
      <w:r>
        <w:t>Серийные модели в наличии отгружаются за один-два рабочих дня. Изготовление под заказ занимает от 18 до 25 рабочих дней. Слэбы из карагача — до 30 дней из-за длительной стабилизации эпоксидной смолы.</w:t>
      </w:r>
    </w:p>
    <w:p>
      <w:r>
        <w:t>Предоплата 50 процентов при подписании заказа, остаток при получении. Принимаем наличные, карты и безналичный расчёт для юридических лиц. Рассрочка на три месяца без процентов.</w:t>
      </w:r>
    </w:p>
    <w:p>
      <w:pPr>
        <w:pStyle w:val="Heading1"/>
      </w:pPr>
      <w:r>
        <w:t>Доставка и сборка</w:t>
      </w:r>
    </w:p>
    <w:p>
      <w:r>
        <w:t>Обнинск — доставка бесплатная при заказе от 40 000 рублей, иначе 900 рублей. Калуга и Малоярославец — 2 500 рублей. Москва в пределах МКАД — 4 800 рублей. Подъём на этаж без лифта 400 рублей за этаж.</w:t>
      </w:r>
    </w:p>
    <w:p>
      <w:r>
        <w:t>Сборка на месте входит в стоимость доставки. Время сборки обеденного стола 20–40 минут.</w:t>
      </w:r>
    </w:p>
    <w:p>
      <w:pPr>
        <w:pStyle w:val="Heading1"/>
      </w:pPr>
      <w:r>
        <w:t>Гарантия</w:t>
      </w:r>
    </w:p>
    <w:p>
      <w:r>
        <w:t>Гарантия на изделия 24 месяца, на механизмы раздвижения 36 месяцев. Гарантия не распространяется на повреждения от воды, оставленной на поверхности более двух часов, от горячей посуды без подставки и от механических ударов.</w:t>
      </w:r>
    </w:p>
    <w:p>
      <w:r>
        <w:t>Рассыхание при влажности воздуха ниже 30 процентов гарантийным случаем не является. Рекомендуемая влажность в помещении 40–60 процентов.</w:t>
      </w:r>
    </w:p>
    <w:p>
      <w:pPr>
        <w:pStyle w:val="Heading1"/>
      </w:pPr>
      <w:r>
        <w:t>Уход</w:t>
      </w:r>
    </w:p>
    <w:p>
      <w:r>
        <w:t>Протирать слегка влажной мягкой тканью, затем насухо. Не использовать спиртосодержащие средства, абразивы и меламиновые губки — они снимают масляный слой.</w:t>
      </w:r>
    </w:p>
    <w:p>
      <w:r>
        <w:t>Горячую посуду ставить только на подставку: масло-воск выдерживает до 90 градусов. Обновление масла раз в полтора-два года, комплект для обновления продаётся отдельно за 2 400 рублей.</w:t>
      </w:r>
    </w:p>
    <w:p>
      <w:pPr>
        <w:pStyle w:val="Heading1"/>
      </w:pPr>
      <w:r>
        <w:t>Возврат</w:t>
      </w:r>
    </w:p>
    <w:p>
      <w:r>
        <w:t>Серийное изделие надлежащего качества можно вернуть в течение 14 дней при сохранении товарного вида. Изделия по индивидуальным размерам возврату и обмену не подлежат согласно перечню непродовольственных товаров надлежащего качества.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