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4E79" w:val="clear"/>
        <w:spacing w:after="240" w:before="1440"/>
        <w:jc w:val="center"/>
      </w:pPr>
      <w:r>
        <w:rPr>
          <w:b/>
          <w:bCs/>
          <w:color w:val="FFFFFF"/>
          <w:sz w:val="56"/>
          <w:szCs w:val="56"/>
        </w:rPr>
        <w:t xml:space="preserve">TCI Simulator Course</w:t>
      </w:r>
    </w:p>
    <w:p>
      <w:pPr>
        <w:shd w:fill="1E4E79" w:val="clear"/>
        <w:spacing w:after="120" w:before="0"/>
        <w:jc w:val="center"/>
      </w:pPr>
      <w:r>
        <w:rPr>
          <w:color w:val="BDD7EE"/>
          <w:sz w:val="36"/>
          <w:szCs w:val="36"/>
        </w:rPr>
        <w:t xml:space="preserve">Weeks 17 – 19</w:t>
      </w:r>
    </w:p>
    <w:p>
      <w:pPr>
        <w:shd w:fill="1E4E79" w:val="clear"/>
        <w:spacing w:after="2000" w:before="200"/>
        <w:jc w:val="center"/>
      </w:pPr>
      <w:r>
        <w:rPr>
          <w:i/>
          <w:iCs/>
          <w:color w:val="BDD7EE"/>
          <w:sz w:val="24"/>
          <w:szCs w:val="24"/>
        </w:rPr>
        <w:t xml:space="preserve">True TCI, Clinical Endpoints, and Special Populations</w:t>
      </w:r>
    </w:p>
    <w:p>
      <w:r>
        <w:br w:type="page"/>
      </w:r>
    </w:p>
    <w:p>
      <w:r>
        <w:rPr>
          <w:b/>
          <w:color w:val="1F4E79"/>
        </w:rPr>
        <w:t>How to use this companion: build each week's code yourself, then check it against the named solution file — solver.py (Week 17), interactions.py (Week 18), covariates.py (Week 19) — each with a __main__ self-test. See APPENDIX E of the Weeks 8-16 volume for the full week→file map.</w:t>
      </w:r>
    </w:p>
    <w:p>
      <w:pPr>
        <w:pStyle w:val="Heading1"/>
        <w:shd w:fill="1E4E79" w:val="clear"/>
        <w:spacing w:after="120" w:before="240"/>
      </w:pPr>
      <w:r>
        <w:rPr>
          <w:b/>
          <w:bCs/>
          <w:color w:val="FFFFFF"/>
        </w:rPr>
        <w:t xml:space="preserve">PART VII — TRUE TCI, CLINICAL ENDPOINTS, AND SPECIAL POPULATIONS (Weeks 17–19)</w:t>
      </w:r>
    </w:p>
    <w:p>
      <w:pPr>
        <w:pStyle w:val="Heading2"/>
        <w:pBdr>
          <w:bottom w:val="single" w:color="2E75B6" w:sz="4" w:space="1"/>
        </w:pBdr>
        <w:spacing w:after="80" w:before="240"/>
      </w:pPr>
      <w:r>
        <w:rPr>
          <w:b/>
          <w:bCs/>
          <w:color w:val="1E4E79"/>
        </w:rPr>
        <w:t xml:space="preserve">Week 17 — Inverse TCI: The Target-Controlled Infusion Solver</w:t>
      </w:r>
    </w:p>
    <w:p>
      <w:r>
        <w:rPr>
          <w:b/>
          <w:color w:val="1F4E79"/>
        </w:rPr>
        <w:t>➜ Build this in: solver.py — infusion_to_hold_cp, induction_bolus_for_ce, tci_solve. The code below is the skeleton; solver.py is the runnable solution (self-test checks bolus = Ct·V1 and the decaying BET rate on the Eleveld anchors). It returns a regimen the SimulationEngine can replay.</w:t>
      </w:r>
    </w:p>
    <w:p>
      <w:pPr>
        <w:spacing w:after="60" w:before="60"/>
      </w:pPr>
      <w:r>
        <w:rPr>
          <w:b/>
          <w:bCs/>
          <w:sz w:val="22"/>
          <w:szCs w:val="22"/>
        </w:rPr>
        <w:t xml:space="preserve">Goal: </w:t>
      </w:r>
      <w:r>
        <w:rPr>
          <w:sz w:val="22"/>
          <w:szCs w:val="22"/>
        </w:rPr>
        <w:t xml:space="preserve">given a target concentration, compute the infusion scheme that reaches and holds it — the inverse of every week so far. Default to effect-site targeting with the Eleveld model; let the user toggle to plasma.</w:t>
      </w:r>
    </w:p>
    <w:p>
      <w:pPr>
        <w:spacing w:after="60" w:before="60"/>
      </w:pPr>
      <w:r>
        <w:rPr>
          <w:b/>
          <w:bCs/>
          <w:sz w:val="22"/>
          <w:szCs w:val="22"/>
        </w:rPr>
        <w:t xml:space="preserve">Builds on: </w:t>
      </w:r>
      <w:r>
        <w:rPr>
          <w:sz w:val="22"/>
          <w:szCs w:val="22"/>
        </w:rPr>
        <w:t xml:space="preserve">the forward engine (Week 7) and the models (Weeks 8–11). Builds toward: the clinical endpoints of Week 18 are the targets you will aim at.</w:t>
      </w:r>
    </w:p>
    <w:p>
      <w:pPr>
        <w:spacing w:after="40" w:before="140"/>
      </w:pPr>
      <w:r>
        <w:rPr>
          <w:b/>
          <w:bCs/>
          <w:color w:val="2E75B6"/>
          <w:sz w:val="24"/>
          <w:szCs w:val="24"/>
        </w:rPr>
        <w:t xml:space="preserve">Concept</w:t>
      </w:r>
    </w:p>
    <w:p>
      <w:pPr>
        <w:spacing w:after="60" w:before="60"/>
      </w:pPr>
      <w:r>
        <w:rPr>
          <w:sz w:val="22"/>
          <w:szCs w:val="22"/>
        </w:rPr>
        <w:t xml:space="preserve">Every week so far has been forward: a regimen goes in, a concentration curve comes out. A real TCI pump inverts that. You name a target — say Ce = 3.0 µg/mL — and the pump computes, and continuously recomputes, the infusion needed to reach it quickly and hold it flat. There are two modes.</w:t>
      </w:r>
    </w:p>
    <w:p>
      <w:pPr>
        <w:spacing w:after="60" w:before="60"/>
      </w:pPr>
      <w:r>
        <w:rPr>
          <w:b/>
          <w:bCs/>
          <w:sz w:val="22"/>
          <w:szCs w:val="22"/>
        </w:rPr>
        <w:t xml:space="preserve">Plasma targeting — the BET scheme. </w:t>
      </w:r>
      <w:r>
        <w:rPr>
          <w:sz w:val="22"/>
          <w:szCs w:val="22"/>
        </w:rPr>
        <w:t xml:space="preserve">To hold plasma at a target Ct you (B) fill the central compartment, then replace what leaves it: (E) elimination and (T) transfer to the peripheries.</w:t>
      </w:r>
    </w:p>
    <w:p>
      <w:pPr>
        <w:spacing w:after="40" w:before="40"/>
        <w:jc w:val="center"/>
      </w:pPr>
      <w:r>
        <w:rPr>
          <w:b/>
          <w:bCs/>
          <w:sz w:val="22"/>
          <w:szCs w:val="22"/>
        </w:rPr>
        <w:t xml:space="preserve">Bolus = Ct · V1        Infusion(t) = Ct · (k10 · V1) + net transfer to peripheries</w:t>
      </w:r>
    </w:p>
    <w:p>
      <w:pPr>
        <w:spacing w:after="60" w:before="60"/>
      </w:pPr>
      <w:r>
        <w:rPr>
          <w:sz w:val="22"/>
          <w:szCs w:val="22"/>
        </w:rPr>
        <w:t xml:space="preserve">Early on the peripheries are empty and pull drug hard, so the infusion starts high and decays as they fill, settling at the steady-state rate Ct · CL (= Ct · k10 · V1). That declining exponential is the signature TCI infusion shape.</w:t>
      </w:r>
    </w:p>
    <w:p>
      <w:pPr>
        <w:spacing w:after="60" w:before="60"/>
      </w:pPr>
      <w:r>
        <w:rPr>
          <w:b/>
          <w:bCs/>
          <w:sz w:val="22"/>
          <w:szCs w:val="22"/>
        </w:rPr>
        <w:t xml:space="preserve">Effect-site targeting — Shafer–Gregg. </w:t>
      </w:r>
      <w:r>
        <w:rPr>
          <w:sz w:val="22"/>
          <w:szCs w:val="22"/>
        </w:rPr>
        <w:t xml:space="preserve">The site of action lags plasma by ke0. To drive Ce to target as fast as possible you deliberately overshoot plasma: give a bolus large enough that Ce peaks exactly at the target at the time of peak effect (tpeak), with no overshoot of Ce. After the peak, plasma has fallen to the target Ce, and holding Cp = target Ce keeps Ce there, because dCe/dt = ke0 · (Cp − Ce) = 0. A lower ke0 (Eleveld propofol ke0 = 0.146) means a later tpeak and a larger initial overshoot.</w:t>
      </w:r>
    </w:p>
    <w:p>
      <w:pPr>
        <w:spacing w:after="60" w:before="60"/>
      </w:pPr>
      <w:r>
        <w:rPr>
          <w:b/>
          <w:bCs/>
          <w:sz w:val="22"/>
          <w:szCs w:val="22"/>
        </w:rPr>
        <w:t xml:space="preserve">Default: </w:t>
      </w:r>
      <w:r>
        <w:rPr>
          <w:sz w:val="22"/>
          <w:szCs w:val="22"/>
        </w:rPr>
        <w:t xml:space="preserve">effect-site targeting is now the standard clinical mode, and we default the propofol model to Eleveld — a general-purpose model validated across ages and body sizes. The user can toggle to plasma targeting, or to Marsh / Schnider.</w:t>
      </w:r>
    </w:p>
    <w:p>
      <w:pPr>
        <w:spacing w:after="40" w:before="140"/>
      </w:pPr>
      <w:r>
        <w:rPr>
          <w:b/>
          <w:bCs/>
          <w:color w:val="2E75B6"/>
          <w:sz w:val="24"/>
          <w:szCs w:val="24"/>
        </w:rPr>
        <w:t xml:space="preserve">By Hand</w:t>
      </w:r>
    </w:p>
    <w:p>
      <w:pPr>
        <w:spacing w:after="60" w:before="60"/>
      </w:pPr>
      <w:r>
        <w:rPr>
          <w:sz w:val="22"/>
          <w:szCs w:val="22"/>
        </w:rPr>
        <w:t xml:space="preserve">Eleveld reference adult (35 yr, 170 cm, 70 kg male): V1 = 6.28 L, CL = 1.79 L/min, Q2 = 1.75, Q3 = 1.11 L/min, V2 = 25.5, V3 = 273 L, ke0 = 0.146. Micro-rates: k10 = CL/V1 = 0.285, k12 = Q2/V1 = 0.279, k13 = Q3/V1 = 0.177, k21 = Q2/V2 = 0.0686, k31 = Q3/V3 = 0.00407 /min.</w:t>
      </w:r>
    </w:p>
    <w:p>
      <w:pPr>
        <w:spacing w:after="60" w:before="60"/>
      </w:pPr>
      <w:r>
        <w:rPr>
          <w:sz w:val="22"/>
          <w:szCs w:val="22"/>
        </w:rPr>
        <w:t xml:space="preserve">Plasma target Cp = 3.0 µg/mL:</w:t>
      </w:r>
    </w:p>
    <w:p>
      <w:pPr>
        <w:spacing w:after="60" w:before="60"/>
      </w:pPr>
      <w:r>
        <w:rPr>
          <w:sz w:val="22"/>
          <w:szCs w:val="22"/>
        </w:rPr>
        <w:t xml:space="preserve">•  Bolus = Ct · V1 = 3.0 × 6.28 = 18.8 mg.</w:t>
      </w:r>
    </w:p>
    <w:p>
      <w:pPr>
        <w:spacing w:after="60" w:before="60"/>
      </w:pPr>
      <w:r>
        <w:rPr>
          <w:sz w:val="22"/>
          <w:szCs w:val="22"/>
        </w:rPr>
        <w:t xml:space="preserve">•  Rate right after the bolus (peripheries empty, A1 = 18.8 mg): A1 · (k10 + k12 + k13) = 18.8 × 0.741 = 13.9 mg/min.</w:t>
      </w:r>
    </w:p>
    <w:p>
      <w:pPr>
        <w:spacing w:after="60" w:before="60"/>
      </w:pPr>
      <w:r>
        <w:rPr>
          <w:sz w:val="22"/>
          <w:szCs w:val="22"/>
        </w:rPr>
        <w:t xml:space="preserve">•  Steady-state rate (peripheries full, transfer nets to zero): Ct · CL = 3.0 × 1.79 = 5.37 mg/min.</w:t>
      </w:r>
    </w:p>
    <w:p>
      <w:pPr>
        <w:spacing w:after="60" w:before="60"/>
      </w:pPr>
      <w:r>
        <w:rPr>
          <w:sz w:val="22"/>
          <w:szCs w:val="22"/>
        </w:rPr>
        <w:t xml:space="preserve">So the scheme is: an 18.8 mg bolus, then an infusion starting near 14 mg/min and decaying toward 5.4 mg/min. The rate must fall — as A2 and A3 rise, k21·A2 and k31·A3 feed back into central, so less fresh drug is needed.</w:t>
      </w:r>
    </w:p>
    <w:p>
      <w:pPr>
        <w:spacing w:after="40" w:before="140"/>
      </w:pPr>
      <w:r>
        <w:rPr>
          <w:b/>
          <w:bCs/>
          <w:color w:val="2E75B6"/>
          <w:sz w:val="24"/>
          <w:szCs w:val="24"/>
        </w:rPr>
        <w:t xml:space="preserve">The Code</w:t>
      </w:r>
    </w:p>
    <w:p>
      <w:pPr>
        <w:spacing w:after="60" w:before="60"/>
      </w:pPr>
      <w:r>
        <w:rPr>
          <w:sz w:val="22"/>
          <w:szCs w:val="22"/>
        </w:rPr>
        <w:t xml:space="preserve">Two functions sit on top of your Week 7 engine. Plasma-target maintenance recomputes each cycle (pumps use about 10 s = 1/6 min): predict A1 over the next step with zero infusion, then choose the rate that lands A1/V1 exactly on target.</w:t>
      </w:r>
    </w:p>
    <w:p>
      <w:pPr>
        <w:shd w:fill="F2F2F2" w:val="clear"/>
        <w:spacing w:after="0" w:before="0"/>
        <w:ind w:left="360"/>
      </w:pPr>
      <w:r>
        <w:rPr>
          <w:rFonts w:ascii="Courier New" w:cs="Courier New" w:eastAsia="Courier New" w:hAnsi="Courier New"/>
          <w:color w:val="1A1A1A"/>
          <w:sz w:val="18"/>
          <w:szCs w:val="18"/>
        </w:rPr>
        <w:t xml:space="preserve">def infusion_to_hold_cp(state, target, V1, params, dt):</w:t>
      </w:r>
    </w:p>
    <w:p>
      <w:pPr>
        <w:shd w:fill="F2F2F2" w:val="clear"/>
        <w:spacing w:after="0" w:before="0"/>
        <w:ind w:left="360"/>
      </w:pPr>
      <w:r>
        <w:rPr>
          <w:rFonts w:ascii="Courier New" w:cs="Courier New" w:eastAsia="Courier New" w:hAnsi="Courier New"/>
          <w:color w:val="1A1A1A"/>
          <w:sz w:val="18"/>
          <w:szCs w:val="18"/>
        </w:rPr>
        <w:t xml:space="preserve">    # state = [A1, A2, A3, Ce]; predict A1 after dt with rate = 0</w:t>
      </w:r>
    </w:p>
    <w:p>
      <w:pPr>
        <w:shd w:fill="F2F2F2" w:val="clear"/>
        <w:spacing w:after="0" w:before="0"/>
        <w:ind w:left="360"/>
      </w:pPr>
      <w:r>
        <w:rPr>
          <w:rFonts w:ascii="Courier New" w:cs="Courier New" w:eastAsia="Courier New" w:hAnsi="Courier New"/>
          <w:color w:val="1A1A1A"/>
          <w:sz w:val="18"/>
          <w:szCs w:val="18"/>
        </w:rPr>
        <w:t xml:space="preserve">    A1_free = step_A1_no_infusion(state, params, dt)   # one forward step</w:t>
      </w:r>
    </w:p>
    <w:p>
      <w:pPr>
        <w:shd w:fill="F2F2F2" w:val="clear"/>
        <w:spacing w:after="0" w:before="0"/>
        <w:ind w:left="360"/>
      </w:pPr>
      <w:r>
        <w:rPr>
          <w:rFonts w:ascii="Courier New" w:cs="Courier New" w:eastAsia="Courier New" w:hAnsi="Courier New"/>
          <w:color w:val="1A1A1A"/>
          <w:sz w:val="18"/>
          <w:szCs w:val="18"/>
        </w:rPr>
        <w:t xml:space="preserve">    needed_A1 = target * V1</w:t>
      </w:r>
    </w:p>
    <w:p>
      <w:pPr>
        <w:shd w:fill="F2F2F2" w:val="clear"/>
        <w:spacing w:after="0" w:before="0"/>
        <w:ind w:left="360"/>
      </w:pPr>
      <w:r>
        <w:rPr>
          <w:rFonts w:ascii="Courier New" w:cs="Courier New" w:eastAsia="Courier New" w:hAnsi="Courier New"/>
          <w:color w:val="1A1A1A"/>
          <w:sz w:val="18"/>
          <w:szCs w:val="18"/>
        </w:rPr>
        <w:t xml:space="preserve">    rate = max(0.0, (needed_A1 - A1_free) / dt)         # mg/min this step</w:t>
      </w:r>
    </w:p>
    <w:p>
      <w:pPr>
        <w:shd w:fill="F2F2F2" w:val="clear"/>
        <w:spacing w:after="0" w:before="0"/>
        <w:ind w:left="360"/>
      </w:pPr>
      <w:r>
        <w:rPr>
          <w:rFonts w:ascii="Courier New" w:cs="Courier New" w:eastAsia="Courier New" w:hAnsi="Courier New"/>
          <w:color w:val="1A1A1A"/>
          <w:sz w:val="18"/>
          <w:szCs w:val="18"/>
        </w:rPr>
        <w:t xml:space="preserve">    return rate                                         # pumps cannot go negative</w:t>
      </w:r>
    </w:p>
    <w:p>
      <w:pPr>
        <w:spacing w:after="60" w:before="60"/>
      </w:pPr>
      <w:r>
        <w:rPr>
          <w:sz w:val="22"/>
          <w:szCs w:val="22"/>
        </w:rPr>
        <w:t xml:space="preserve">Effect-site targeting computes the induction bolus from the effect-site peak after a unit dose, then hands over to plasma-hold once Ce arrives at target.</w:t>
      </w:r>
    </w:p>
    <w:p>
      <w:pPr>
        <w:shd w:fill="F2F2F2" w:val="clear"/>
        <w:spacing w:after="0" w:before="0"/>
        <w:ind w:left="360"/>
      </w:pPr>
      <w:r>
        <w:rPr>
          <w:rFonts w:ascii="Courier New" w:cs="Courier New" w:eastAsia="Courier New" w:hAnsi="Courier New"/>
          <w:color w:val="1A1A1A"/>
          <w:sz w:val="18"/>
          <w:szCs w:val="18"/>
        </w:rPr>
        <w:t xml:space="preserve">def induction_bolus_for_ce(model, target_ce):</w:t>
      </w:r>
    </w:p>
    <w:p>
      <w:pPr>
        <w:shd w:fill="F2F2F2" w:val="clear"/>
        <w:spacing w:after="0" w:before="0"/>
        <w:ind w:left="360"/>
      </w:pPr>
      <w:r>
        <w:rPr>
          <w:rFonts w:ascii="Courier New" w:cs="Courier New" w:eastAsia="Courier New" w:hAnsi="Courier New"/>
          <w:color w:val="1A1A1A"/>
          <w:sz w:val="18"/>
          <w:szCs w:val="18"/>
        </w:rPr>
        <w:t xml:space="preserve">    # simulate a 1 mg bolus, no infusion; find the peak Ce it produces</w:t>
      </w:r>
    </w:p>
    <w:p>
      <w:pPr>
        <w:shd w:fill="F2F2F2" w:val="clear"/>
        <w:spacing w:after="0" w:before="0"/>
        <w:ind w:left="360"/>
      </w:pPr>
      <w:r>
        <w:rPr>
          <w:rFonts w:ascii="Courier New" w:cs="Courier New" w:eastAsia="Courier New" w:hAnsi="Courier New"/>
          <w:color w:val="1A1A1A"/>
          <w:sz w:val="18"/>
          <w:szCs w:val="18"/>
        </w:rPr>
        <w:t xml:space="preserve">    ce_peak_per_mg = simulate_unit_bolus_peak_ce(model)   # Week 7 engine</w:t>
      </w:r>
    </w:p>
    <w:p>
      <w:pPr>
        <w:shd w:fill="F2F2F2" w:val="clear"/>
        <w:spacing w:after="0" w:before="0"/>
        <w:ind w:left="360"/>
      </w:pPr>
      <w:r>
        <w:rPr>
          <w:rFonts w:ascii="Courier New" w:cs="Courier New" w:eastAsia="Courier New" w:hAnsi="Courier New"/>
          <w:color w:val="1A1A1A"/>
          <w:sz w:val="18"/>
          <w:szCs w:val="18"/>
        </w:rPr>
        <w:t xml:space="preserve">    return target_ce / ce_peak_per_mg   # scale so Ce peaks at target at tpeak</w:t>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2CC" w:val="clear"/>
            <w:tcMar>
              <w:top w:type="dxa" w:w="80"/>
              <w:left w:type="dxa" w:w="140"/>
              <w:bottom w:type="dxa" w:w="80"/>
              <w:right w:type="dxa" w:w="140"/>
            </w:tcMar>
          </w:tcPr>
          <w:p>
            <w:pPr>
              <w:spacing w:after="20" w:before="20"/>
            </w:pPr>
            <w:r>
              <w:rPr>
                <w:b/>
                <w:bCs/>
                <w:sz w:val="22"/>
                <w:szCs w:val="22"/>
              </w:rPr>
              <w:t xml:space="preserve">Honesty note</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2EFDA" w:val="clear"/>
            <w:tcMar>
              <w:top w:type="dxa" w:w="80"/>
              <w:left w:type="dxa" w:w="140"/>
              <w:bottom w:type="dxa" w:w="80"/>
              <w:right w:type="dxa" w:w="140"/>
            </w:tcMar>
          </w:tcPr>
          <w:p>
            <w:pPr>
              <w:spacing w:after="60" w:before="60"/>
            </w:pPr>
            <w:r>
              <w:rPr>
                <w:sz w:val="22"/>
                <w:szCs w:val="22"/>
              </w:rPr>
              <w:t xml:space="preserve">This is the teaching skeleton of the Shafer–Gregg algorithm. A production TCI also caps the pump’s maximum rate, forbids negative infusions (it can pause, never remove drug), and recomputes on a fixed clock. Validate any solver against a known reference — stanpumpR or a published BET table — before trusting a number.</w:t>
            </w:r>
          </w:p>
        </w:tc>
      </w:tr>
    </w:tbl>
    <w:p>
      <w:pPr>
        <w:spacing w:after="40" w:before="140"/>
      </w:pPr>
      <w:r>
        <w:rPr>
          <w:b/>
          <w:bCs/>
          <w:color w:val="2E75B6"/>
          <w:sz w:val="24"/>
          <w:szCs w:val="24"/>
        </w:rPr>
        <w:t xml:space="preserve">Exercises</w:t>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2CC" w:val="clear"/>
            <w:tcMar>
              <w:top w:type="dxa" w:w="80"/>
              <w:left w:type="dxa" w:w="140"/>
              <w:bottom w:type="dxa" w:w="80"/>
              <w:right w:type="dxa" w:w="140"/>
            </w:tcMar>
          </w:tcPr>
          <w:p>
            <w:pPr>
              <w:spacing w:after="20" w:before="20"/>
            </w:pPr>
            <w:r>
              <w:rPr>
                <w:b/>
                <w:bCs/>
                <w:sz w:val="22"/>
                <w:szCs w:val="22"/>
              </w:rPr>
              <w:t xml:space="preserve">Exercise 17.1: BET by Hand</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40"/>
              <w:bottom w:type="dxa" w:w="80"/>
              <w:right w:type="dxa" w:w="140"/>
            </w:tcMar>
          </w:tcPr>
          <w:p>
            <w:pPr>
              <w:spacing w:after="60" w:before="60"/>
            </w:pPr>
            <w:r>
              <w:rPr>
                <w:sz w:val="22"/>
                <w:szCs w:val="22"/>
              </w:rPr>
              <w:t xml:space="preserve">Using the Eleveld reference numbers, compute (a) the bolus for a plasma target of 4.0 µg/mL; (b) the infusion rate immediately after the bolus; (c) the steady-state rate. What is the ratio of the early rate to the maintenance rate?</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2EFDA" w:val="clear"/>
            <w:tcMar>
              <w:top w:type="dxa" w:w="80"/>
              <w:left w:type="dxa" w:w="140"/>
              <w:bottom w:type="dxa" w:w="80"/>
              <w:right w:type="dxa" w:w="140"/>
            </w:tcMar>
          </w:tcPr>
          <w:p>
            <w:pPr>
              <w:spacing w:after="60" w:before="60"/>
            </w:pPr>
            <w:r>
              <w:rPr>
                <w:sz w:val="22"/>
                <w:szCs w:val="22"/>
              </w:rPr>
              <w:t xml:space="preserve">(a) 4.0 × 6.28 = 25.1 mg.  </w:t>
            </w:r>
          </w:p>
          <w:p>
            <w:pPr>
              <w:spacing w:after="60" w:before="60"/>
            </w:pPr>
            <w:r>
              <w:rPr>
                <w:sz w:val="22"/>
                <w:szCs w:val="22"/>
              </w:rPr>
              <w:t xml:space="preserve">(b) 25.1 × 0.741 = 18.6 mg/min.  </w:t>
            </w:r>
          </w:p>
          <w:p>
            <w:pPr>
              <w:spacing w:after="60" w:before="60"/>
            </w:pPr>
            <w:r>
              <w:rPr>
                <w:sz w:val="22"/>
                <w:szCs w:val="22"/>
              </w:rPr>
              <w:t xml:space="preserve">(c) 4.0 × 1.79 = 7.16 mg/min.  </w:t>
            </w:r>
          </w:p>
          <w:p>
            <w:pPr>
              <w:spacing w:after="60" w:before="60"/>
            </w:pPr>
            <w:r>
              <w:rPr>
                <w:sz w:val="22"/>
                <w:szCs w:val="22"/>
              </w:rPr>
              <w:t xml:space="preserve">Ratio (b)/(c) = 2.6× — the early infusion runs about 2.6 times the maintenance rate to fill the peripheries. That front-loading is the whole point of the T in BET.</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2CC" w:val="clear"/>
            <w:tcMar>
              <w:top w:type="dxa" w:w="80"/>
              <w:left w:type="dxa" w:w="140"/>
              <w:bottom w:type="dxa" w:w="80"/>
              <w:right w:type="dxa" w:w="140"/>
            </w:tcMar>
          </w:tcPr>
          <w:p>
            <w:pPr>
              <w:spacing w:after="20" w:before="20"/>
            </w:pPr>
            <w:r>
              <w:rPr>
                <w:b/>
                <w:bCs/>
                <w:sz w:val="22"/>
                <w:szCs w:val="22"/>
              </w:rPr>
              <w:t xml:space="preserve">Exercise 17.2: Why Effect-Site Targeting Overshoots</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40"/>
              <w:bottom w:type="dxa" w:w="80"/>
              <w:right w:type="dxa" w:w="140"/>
            </w:tcMar>
          </w:tcPr>
          <w:p>
            <w:pPr>
              <w:spacing w:after="60" w:before="60"/>
            </w:pPr>
            <w:r>
              <w:rPr>
                <w:sz w:val="22"/>
                <w:szCs w:val="22"/>
              </w:rPr>
              <w:t xml:space="preserve">(a) With Eleveld ke0 = 0.146 versus Marsh ke0 = 0.26, which reaches peak effect later?  </w:t>
            </w:r>
          </w:p>
          <w:p>
            <w:pPr>
              <w:spacing w:after="60" w:before="60"/>
            </w:pPr>
            <w:r>
              <w:rPr>
                <w:sz w:val="22"/>
                <w:szCs w:val="22"/>
              </w:rPr>
              <w:t xml:space="preserve">(b) Which needs the larger induction bolus for the same target Ce, and why?  </w:t>
            </w:r>
          </w:p>
          <w:p>
            <w:pPr>
              <w:spacing w:after="60" w:before="60"/>
            </w:pPr>
            <w:r>
              <w:rPr>
                <w:sz w:val="22"/>
                <w:szCs w:val="22"/>
              </w:rPr>
              <w:t xml:space="preserve">(c) After the Ce peak, what plasma concentration holds Ce steady?</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2EFDA" w:val="clear"/>
            <w:tcMar>
              <w:top w:type="dxa" w:w="80"/>
              <w:left w:type="dxa" w:w="140"/>
              <w:bottom w:type="dxa" w:w="80"/>
              <w:right w:type="dxa" w:w="140"/>
            </w:tcMar>
          </w:tcPr>
          <w:p>
            <w:pPr>
              <w:spacing w:after="60" w:before="60"/>
            </w:pPr>
            <w:r>
              <w:rPr>
                <w:sz w:val="22"/>
                <w:szCs w:val="22"/>
              </w:rPr>
              <w:t xml:space="preserve">(a) Eleveld — a lower ke0 means a slower chase and a later tpeak (roughly 1/ke0 longer).  </w:t>
            </w:r>
          </w:p>
          <w:p>
            <w:pPr>
              <w:spacing w:after="60" w:before="60"/>
            </w:pPr>
            <w:r>
              <w:rPr>
                <w:sz w:val="22"/>
                <w:szCs w:val="22"/>
              </w:rPr>
              <w:t xml:space="preserve">(b) Eleveld — a later, lower unit-bolus Ce peak means the bolus must be scaled up more to make Ce reach target, i.e. a bigger deliberate plasma overshoot.  </w:t>
            </w:r>
          </w:p>
          <w:p>
            <w:pPr>
              <w:spacing w:after="60" w:before="60"/>
            </w:pPr>
            <w:r>
              <w:rPr>
                <w:sz w:val="22"/>
                <w:szCs w:val="22"/>
              </w:rPr>
              <w:t xml:space="preserve">(c) Cp = target Ce. Then dCe/dt = ke0·(Cp − Ce) = 0 and Ce stays put.</w:t>
            </w:r>
          </w:p>
        </w:tc>
      </w:tr>
    </w:tbl>
    <w:p>
      <w:pPr>
        <w:spacing w:after="40" w:before="140"/>
      </w:pPr>
      <w:r>
        <w:rPr>
          <w:b/>
          <w:bCs/>
          <w:color w:val="2E75B6"/>
          <w:sz w:val="24"/>
          <w:szCs w:val="24"/>
        </w:rPr>
        <w:t xml:space="preserve">References</w:t>
      </w:r>
    </w:p>
    <w:p>
      <w:pPr>
        <w:spacing w:after="60" w:before="60"/>
      </w:pPr>
      <w:r>
        <w:rPr>
          <w:sz w:val="22"/>
          <w:szCs w:val="22"/>
        </w:rPr>
        <w:t xml:space="preserve">Shafer SL, Gregg KM. Algorithms to rapidly achieve and maintain stable drug concentrations at the site of drug effect with a computer-controlled infusion pump. J Pharmacokinet Biopharm. 1992;20:147-169. Bailey JM, Shafer SL. A simple analytical solution to the three-compartment pharmacokinetic model suitable for computer-controlled infusion pumps. IEEE Trans Biomed Eng. 1991;38:522-525.</w:t>
      </w:r>
    </w:p>
    <w:p>
      <w:r>
        <w:br w:type="page"/>
      </w:r>
    </w:p>
    <w:p>
      <w:pPr>
        <w:pStyle w:val="Heading2"/>
        <w:pBdr>
          <w:bottom w:val="single" w:color="2E75B6" w:sz="4" w:space="1"/>
        </w:pBdr>
        <w:spacing w:after="80" w:before="240"/>
      </w:pPr>
      <w:r>
        <w:rPr>
          <w:b/>
          <w:bCs/>
          <w:color w:val="1E4E79"/>
        </w:rPr>
        <w:t xml:space="preserve">Week 18 — Clinical Endpoint Outputs: Unresponsiveness and Laryngoscopy</w:t>
      </w:r>
    </w:p>
    <w:p>
      <w:r>
        <w:rPr>
          <w:b/>
          <w:color w:val="1F4E79"/>
        </w:rPr>
        <w:t>➜ Build this in: interactions.py — p_single and p_event (the same Greco surface as Week 15, named for the clinical endpoints). app.py already uses this for tolerance of laryngoscopy.</w:t>
      </w:r>
    </w:p>
    <w:p>
      <w:pPr>
        <w:spacing w:after="60" w:before="60"/>
      </w:pPr>
      <w:r>
        <w:rPr>
          <w:b/>
          <w:bCs/>
          <w:sz w:val="22"/>
          <w:szCs w:val="22"/>
        </w:rPr>
        <w:t xml:space="preserve">Goal: </w:t>
      </w:r>
      <w:r>
        <w:rPr>
          <w:sz w:val="22"/>
          <w:szCs w:val="22"/>
        </w:rPr>
        <w:t xml:space="preserve">turn effect-site concentrations into the probability of a clinical event — loss of responsiveness and tolerance of laryngoscopy — using validated response surfaces.</w:t>
      </w:r>
    </w:p>
    <w:p>
      <w:pPr>
        <w:spacing w:after="60" w:before="60"/>
      </w:pPr>
      <w:r>
        <w:rPr>
          <w:b/>
          <w:bCs/>
          <w:sz w:val="22"/>
          <w:szCs w:val="22"/>
        </w:rPr>
        <w:t xml:space="preserve">Builds on: </w:t>
      </w:r>
      <w:r>
        <w:rPr>
          <w:sz w:val="22"/>
          <w:szCs w:val="22"/>
        </w:rPr>
        <w:t xml:space="preserve">the Hill model (Week 14) and the Greco response surface (Week 15). Builds toward: these are the readouts the app displays and the targets you set in Week 17.</w:t>
      </w:r>
    </w:p>
    <w:p>
      <w:pPr>
        <w:spacing w:after="40" w:before="140"/>
      </w:pPr>
      <w:r>
        <w:rPr>
          <w:b/>
          <w:bCs/>
          <w:color w:val="2E75B6"/>
          <w:sz w:val="24"/>
          <w:szCs w:val="24"/>
        </w:rPr>
        <w:t xml:space="preserve">Concept</w:t>
      </w:r>
    </w:p>
    <w:p>
      <w:pPr>
        <w:spacing w:after="60" w:before="60"/>
      </w:pPr>
      <w:r>
        <w:rPr>
          <w:sz w:val="22"/>
          <w:szCs w:val="22"/>
        </w:rPr>
        <w:t xml:space="preserve">A concentration is not a clinical answer. "Ce = 3 µg/mL" means little to the surgeon; "92% probability this patient will not respond to laryngoscopy" does. We map concentration to probability with a Hill curve, and two-drug combinations with a response surface.</w:t>
      </w:r>
    </w:p>
    <w:p>
      <w:pPr>
        <w:spacing w:after="60" w:before="60"/>
      </w:pPr>
      <w:r>
        <w:rPr>
          <w:b/>
          <w:bCs/>
          <w:sz w:val="22"/>
          <w:szCs w:val="22"/>
        </w:rPr>
        <w:t xml:space="preserve">Single drug (probability form). </w:t>
      </w:r>
      <w:r>
        <w:rPr>
          <w:sz w:val="22"/>
          <w:szCs w:val="22"/>
        </w:rPr>
        <w:t xml:space="preserve">P = Ce^γ / (C50^γ + Ce^γ), where C50 is the effect-site concentration giving a 50% probability of the event and γ sets the steepness.</w:t>
      </w:r>
    </w:p>
    <w:p>
      <w:pPr>
        <w:spacing w:after="60" w:before="60"/>
      </w:pPr>
      <w:r>
        <w:rPr>
          <w:b/>
          <w:bCs/>
          <w:sz w:val="22"/>
          <w:szCs w:val="22"/>
        </w:rPr>
        <w:t xml:space="preserve">Two drugs (propofol + remifentanil, Greco form — the same one as Week 15).</w:t>
      </w:r>
      <w:r>
        <w:rPr>
          <w:sz w:val="22"/>
          <w:szCs w:val="22"/>
        </w:rPr>
        <w:t xml:space="preserve"/>
      </w:r>
    </w:p>
    <w:p>
      <w:pPr>
        <w:spacing w:after="40" w:before="40"/>
        <w:jc w:val="center"/>
      </w:pPr>
      <w:r>
        <w:rPr>
          <w:b/>
          <w:bCs/>
          <w:sz w:val="22"/>
          <w:szCs w:val="22"/>
        </w:rPr>
        <w:t xml:space="preserve">UP = CeP/C50P    UR = CeR/C50R    U = UP + UR + α·UP·UR    P = U^γ / (1 + U^γ)</w:t>
      </w:r>
    </w:p>
    <w:p>
      <w:pPr>
        <w:spacing w:after="60" w:before="60"/>
      </w:pPr>
      <w:r>
        <w:rPr>
          <w:sz w:val="22"/>
          <w:szCs w:val="22"/>
        </w:rPr>
        <w:t xml:space="preserve">α &gt; 0 is synergy (the hallmark of propofol + opioid for blunting stimulus response); α ≈ 0 is additive. Two endpoints matter most:</w:t>
      </w:r>
    </w:p>
    <w:p>
      <w:pPr>
        <w:spacing w:after="60" w:before="60"/>
      </w:pPr>
      <w:r>
        <w:rPr>
          <w:sz w:val="22"/>
          <w:szCs w:val="22"/>
        </w:rPr>
        <w:t xml:space="preserve">•  Loss of responsiveness (hypnosis) — propofol-dominant. Remifentanil adds little hypnosis, so the interaction is weak (near-additive). Propofol effect-site C50 for loss of responsiveness is around 2.8 µg/mL in adults, lower in the elderly.</w:t>
      </w:r>
    </w:p>
    <w:p>
      <w:pPr>
        <w:spacing w:after="60" w:before="60"/>
      </w:pPr>
      <w:r>
        <w:rPr>
          <w:sz w:val="22"/>
          <w:szCs w:val="22"/>
        </w:rPr>
        <w:t xml:space="preserve">•  Tolerance of laryngoscopy — strongly synergistic. Neither drug alone reaches it at safe doses; together they do. That is why you give an opioid before intubating.</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2600"/>
        <w:gridCol w:w="1900"/>
        <w:gridCol w:w="2100"/>
        <w:gridCol w:w="1400"/>
        <w:gridCol w:w="1360"/>
      </w:tblGrid>
      <w:tr>
        <w:tc>
          <w:tcPr>
            <w:tcW w:type="dxa" w:w="2600"/>
            <w:tcBorders>
              <w:top w:val="single" w:color="AAAAAA" w:sz="1"/>
              <w:left w:val="single" w:color="AAAAAA" w:sz="1"/>
              <w:bottom w:val="single" w:color="AAAAAA" w:sz="1"/>
              <w:right w:val="single" w:color="AAAAAA" w:sz="1"/>
            </w:tcBorders>
            <w:shd w:fill="D6E4F0" w:val="clear"/>
            <w:tcMar>
              <w:top w:type="dxa" w:w="40"/>
              <w:left w:type="dxa" w:w="100"/>
              <w:bottom w:type="dxa" w:w="40"/>
              <w:right w:type="dxa" w:w="100"/>
            </w:tcMar>
          </w:tcPr>
          <w:p>
            <w:pPr>
              <w:spacing w:after="20" w:before="20"/>
            </w:pPr>
            <w:r>
              <w:rPr>
                <w:b/>
                <w:bCs/>
                <w:sz w:val="22"/>
                <w:szCs w:val="22"/>
              </w:rPr>
              <w:t xml:space="preserve">Endpoint</w:t>
            </w:r>
          </w:p>
        </w:tc>
        <w:tc>
          <w:tcPr>
            <w:tcW w:type="dxa" w:w="1900"/>
            <w:tcBorders>
              <w:top w:val="single" w:color="AAAAAA" w:sz="1"/>
              <w:left w:val="single" w:color="AAAAAA" w:sz="1"/>
              <w:bottom w:val="single" w:color="AAAAAA" w:sz="1"/>
              <w:right w:val="single" w:color="AAAAAA" w:sz="1"/>
            </w:tcBorders>
            <w:shd w:fill="D6E4F0" w:val="clear"/>
            <w:tcMar>
              <w:top w:type="dxa" w:w="40"/>
              <w:left w:type="dxa" w:w="100"/>
              <w:bottom w:type="dxa" w:w="40"/>
              <w:right w:type="dxa" w:w="100"/>
            </w:tcMar>
          </w:tcPr>
          <w:p>
            <w:pPr>
              <w:spacing w:after="20" w:before="20"/>
            </w:pPr>
            <w:r>
              <w:rPr>
                <w:b/>
                <w:bCs/>
                <w:sz w:val="22"/>
                <w:szCs w:val="22"/>
              </w:rPr>
              <w:t xml:space="preserve">C50P (µg/mL)</w:t>
            </w:r>
          </w:p>
        </w:tc>
        <w:tc>
          <w:tcPr>
            <w:tcW w:type="dxa" w:w="2100"/>
            <w:tcBorders>
              <w:top w:val="single" w:color="AAAAAA" w:sz="1"/>
              <w:left w:val="single" w:color="AAAAAA" w:sz="1"/>
              <w:bottom w:val="single" w:color="AAAAAA" w:sz="1"/>
              <w:right w:val="single" w:color="AAAAAA" w:sz="1"/>
            </w:tcBorders>
            <w:shd w:fill="D6E4F0" w:val="clear"/>
            <w:tcMar>
              <w:top w:type="dxa" w:w="40"/>
              <w:left w:type="dxa" w:w="100"/>
              <w:bottom w:type="dxa" w:w="40"/>
              <w:right w:type="dxa" w:w="100"/>
            </w:tcMar>
          </w:tcPr>
          <w:p>
            <w:pPr>
              <w:spacing w:after="20" w:before="20"/>
            </w:pPr>
            <w:r>
              <w:rPr>
                <w:b/>
                <w:bCs/>
                <w:sz w:val="22"/>
                <w:szCs w:val="22"/>
              </w:rPr>
              <w:t xml:space="preserve">C50R (ng/mL)</w:t>
            </w:r>
          </w:p>
        </w:tc>
        <w:tc>
          <w:tcPr>
            <w:tcW w:type="dxa" w:w="1400"/>
            <w:tcBorders>
              <w:top w:val="single" w:color="AAAAAA" w:sz="1"/>
              <w:left w:val="single" w:color="AAAAAA" w:sz="1"/>
              <w:bottom w:val="single" w:color="AAAAAA" w:sz="1"/>
              <w:right w:val="single" w:color="AAAAAA" w:sz="1"/>
            </w:tcBorders>
            <w:shd w:fill="D6E4F0" w:val="clear"/>
            <w:tcMar>
              <w:top w:type="dxa" w:w="40"/>
              <w:left w:type="dxa" w:w="100"/>
              <w:bottom w:type="dxa" w:w="40"/>
              <w:right w:type="dxa" w:w="100"/>
            </w:tcMar>
          </w:tcPr>
          <w:p>
            <w:pPr>
              <w:spacing w:after="20" w:before="20"/>
            </w:pPr>
            <w:r>
              <w:rPr>
                <w:b/>
                <w:bCs/>
                <w:sz w:val="22"/>
                <w:szCs w:val="22"/>
              </w:rPr>
              <w:t xml:space="preserve">γ (slope)</w:t>
            </w:r>
          </w:p>
        </w:tc>
        <w:tc>
          <w:tcPr>
            <w:tcW w:type="dxa" w:w="1360"/>
            <w:tcBorders>
              <w:top w:val="single" w:color="AAAAAA" w:sz="1"/>
              <w:left w:val="single" w:color="AAAAAA" w:sz="1"/>
              <w:bottom w:val="single" w:color="AAAAAA" w:sz="1"/>
              <w:right w:val="single" w:color="AAAAAA" w:sz="1"/>
            </w:tcBorders>
            <w:shd w:fill="D6E4F0" w:val="clear"/>
            <w:tcMar>
              <w:top w:type="dxa" w:w="40"/>
              <w:left w:type="dxa" w:w="100"/>
              <w:bottom w:type="dxa" w:w="40"/>
              <w:right w:type="dxa" w:w="100"/>
            </w:tcMar>
          </w:tcPr>
          <w:p>
            <w:pPr>
              <w:spacing w:after="20" w:before="20"/>
            </w:pPr>
            <w:r>
              <w:rPr>
                <w:b/>
                <w:bCs/>
                <w:sz w:val="22"/>
                <w:szCs w:val="22"/>
              </w:rPr>
              <w:t xml:space="preserve">α</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Loss of responsiveness</w:t>
            </w:r>
          </w:p>
        </w:tc>
        <w:tc>
          <w:tcPr>
            <w:tcW w:type="dxa" w:w="19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~2.8</w:t>
            </w:r>
          </w:p>
        </w:tc>
        <w:tc>
          <w:tcPr>
            <w:tcW w:type="dxa" w:w="21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high / weak</w:t>
            </w:r>
          </w:p>
        </w:tc>
        <w:tc>
          <w:tcPr>
            <w:tcW w:type="dxa" w:w="14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~1.5</w:t>
            </w:r>
          </w:p>
        </w:tc>
        <w:tc>
          <w:tcPr>
            <w:tcW w:type="dxa" w:w="136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~0 (near-additive)</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Tolerance of laryngoscopy</w:t>
            </w:r>
          </w:p>
        </w:tc>
        <w:tc>
          <w:tcPr>
            <w:tcW w:type="dxa" w:w="19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higher alone</w:t>
            </w:r>
          </w:p>
        </w:tc>
        <w:tc>
          <w:tcPr>
            <w:tcW w:type="dxa" w:w="21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much lower with propofol</w:t>
            </w:r>
          </w:p>
        </w:tc>
        <w:tc>
          <w:tcPr>
            <w:tcW w:type="dxa" w:w="14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steeper</w:t>
            </w:r>
          </w:p>
        </w:tc>
        <w:tc>
          <w:tcPr>
            <w:tcW w:type="dxa" w:w="136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&gt; 0 (synergistic)</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2CC" w:val="clear"/>
            <w:tcMar>
              <w:top w:type="dxa" w:w="80"/>
              <w:left w:type="dxa" w:w="140"/>
              <w:bottom w:type="dxa" w:w="80"/>
              <w:right w:type="dxa" w:w="140"/>
            </w:tcMar>
          </w:tcPr>
          <w:p>
            <w:pPr>
              <w:spacing w:after="20" w:before="20"/>
            </w:pPr>
            <w:r>
              <w:rPr>
                <w:b/>
                <w:bCs/>
                <w:sz w:val="22"/>
                <w:szCs w:val="22"/>
              </w:rPr>
              <w:t xml:space="preserve">Honesty note</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2EFDA" w:val="clear"/>
            <w:tcMar>
              <w:top w:type="dxa" w:w="80"/>
              <w:left w:type="dxa" w:w="140"/>
              <w:bottom w:type="dxa" w:w="80"/>
              <w:right w:type="dxa" w:w="140"/>
            </w:tcMar>
          </w:tcPr>
          <w:p>
            <w:pPr>
              <w:spacing w:after="60" w:before="60"/>
            </w:pPr>
            <w:r>
              <w:rPr>
                <w:sz w:val="22"/>
                <w:szCs w:val="22"/>
              </w:rPr>
              <w:t xml:space="preserve">Exact C50P, C50R, γ, and α differ between published surfaces (Bouillon 2004; Kern 2004; Johnson / Syroid 2008) and between populations. Pull the specific values from the source table for the endpoint and drug pair you model, and treat the numbers above as illustrative anchors.</w:t>
            </w:r>
          </w:p>
        </w:tc>
      </w:tr>
    </w:tbl>
    <w:p>
      <w:pPr>
        <w:spacing w:after="40" w:before="140"/>
      </w:pPr>
      <w:r>
        <w:rPr>
          <w:b/>
          <w:bCs/>
          <w:color w:val="2E75B6"/>
          <w:sz w:val="24"/>
          <w:szCs w:val="24"/>
        </w:rPr>
        <w:t xml:space="preserve">By Hand</w:t>
      </w:r>
    </w:p>
    <w:p>
      <w:pPr>
        <w:spacing w:after="60" w:before="60"/>
      </w:pPr>
      <w:r>
        <w:rPr>
          <w:sz w:val="22"/>
          <w:szCs w:val="22"/>
        </w:rPr>
        <w:t xml:space="preserve">Single-drug unresponsiveness, propofol C50 = 2.8, γ = 1.5:</w:t>
      </w:r>
    </w:p>
    <w:p>
      <w:pPr>
        <w:spacing w:after="60" w:before="60"/>
      </w:pPr>
      <w:r>
        <w:rPr>
          <w:sz w:val="22"/>
          <w:szCs w:val="22"/>
        </w:rPr>
        <w:t xml:space="preserve">•  Ce = 2.0: P = 2.0^1.5 / (2.8^1.5 + 2.0^1.5) = 2.83 / (4.69 + 2.83) = 0.38 (38%).</w:t>
      </w:r>
    </w:p>
    <w:p>
      <w:pPr>
        <w:spacing w:after="60" w:before="60"/>
      </w:pPr>
      <w:r>
        <w:rPr>
          <w:sz w:val="22"/>
          <w:szCs w:val="22"/>
        </w:rPr>
        <w:t xml:space="preserve">•  Ce = 3.5: P = 3.5^1.5 / (2.8^1.5 + 3.5^1.5) = 6.55 / (4.69 + 6.55) = 0.58 (58%).</w:t>
      </w:r>
    </w:p>
    <w:p>
      <w:pPr>
        <w:spacing w:after="60" w:before="60"/>
      </w:pPr>
      <w:r>
        <w:rPr>
          <w:sz w:val="22"/>
          <w:szCs w:val="22"/>
        </w:rPr>
        <w:t xml:space="preserve">Two-drug laryngoscopy (illustrative C50P = 3.0, C50R = 3.0, α = 3, γ = 4) at CeP = 1.5, CeR = 1.5: UP = 0.5, UR = 0.5, U = 0.5 + 0.5 + 3·0.25 = 1.75; P = 1.75^4 / (1 + 1.75^4) = 9.38 / 10.38 = 0.90 (90%). This is the same arithmetic as Week 15’s synergy example — deliberately, so you see that an "endpoint" is just the response surface with a clinical name.</w:t>
      </w:r>
    </w:p>
    <w:p>
      <w:pPr>
        <w:spacing w:after="40" w:before="140"/>
      </w:pPr>
      <w:r>
        <w:rPr>
          <w:b/>
          <w:bCs/>
          <w:color w:val="2E75B6"/>
          <w:sz w:val="24"/>
          <w:szCs w:val="24"/>
        </w:rPr>
        <w:t xml:space="preserve">The Code</w:t>
      </w:r>
    </w:p>
    <w:p>
      <w:pPr>
        <w:shd w:fill="F2F2F2" w:val="clear"/>
        <w:spacing w:after="0" w:before="0"/>
        <w:ind w:left="360"/>
      </w:pPr>
      <w:r>
        <w:rPr>
          <w:rFonts w:ascii="Courier New" w:cs="Courier New" w:eastAsia="Courier New" w:hAnsi="Courier New"/>
          <w:color w:val="1A1A1A"/>
          <w:sz w:val="18"/>
          <w:szCs w:val="18"/>
        </w:rPr>
        <w:t xml:space="preserve">def p_event(CeP, CeR, C50P, C50R, alpha, gamma):</w:t>
      </w:r>
    </w:p>
    <w:p>
      <w:pPr>
        <w:shd w:fill="F2F2F2" w:val="clear"/>
        <w:spacing w:after="0" w:before="0"/>
        <w:ind w:left="360"/>
      </w:pPr>
      <w:r>
        <w:rPr>
          <w:rFonts w:ascii="Courier New" w:cs="Courier New" w:eastAsia="Courier New" w:hAnsi="Courier New"/>
          <w:color w:val="1A1A1A"/>
          <w:sz w:val="18"/>
          <w:szCs w:val="18"/>
        </w:rPr>
        <w:t xml:space="preserve">    UP = CeP / C50P</w:t>
      </w:r>
    </w:p>
    <w:p>
      <w:pPr>
        <w:shd w:fill="F2F2F2" w:val="clear"/>
        <w:spacing w:after="0" w:before="0"/>
        <w:ind w:left="360"/>
      </w:pPr>
      <w:r>
        <w:rPr>
          <w:rFonts w:ascii="Courier New" w:cs="Courier New" w:eastAsia="Courier New" w:hAnsi="Courier New"/>
          <w:color w:val="1A1A1A"/>
          <w:sz w:val="18"/>
          <w:szCs w:val="18"/>
        </w:rPr>
        <w:t xml:space="preserve">    UR = CeR / C50R</w:t>
      </w:r>
    </w:p>
    <w:p>
      <w:pPr>
        <w:shd w:fill="F2F2F2" w:val="clear"/>
        <w:spacing w:after="0" w:before="0"/>
        <w:ind w:left="360"/>
      </w:pPr>
      <w:r>
        <w:rPr>
          <w:rFonts w:ascii="Courier New" w:cs="Courier New" w:eastAsia="Courier New" w:hAnsi="Courier New"/>
          <w:color w:val="1A1A1A"/>
          <w:sz w:val="18"/>
          <w:szCs w:val="18"/>
        </w:rPr>
        <w:t xml:space="preserve">    U = UP + UR + alpha * UP * UR</w:t>
      </w:r>
    </w:p>
    <w:p>
      <w:pPr>
        <w:shd w:fill="F2F2F2" w:val="clear"/>
        <w:spacing w:after="0" w:before="0"/>
        <w:ind w:left="360"/>
      </w:pPr>
      <w:r>
        <w:rPr>
          <w:rFonts w:ascii="Courier New" w:cs="Courier New" w:eastAsia="Courier New" w:hAnsi="Courier New"/>
          <w:color w:val="1A1A1A"/>
          <w:sz w:val="18"/>
          <w:szCs w:val="18"/>
        </w:rPr>
        <w:t xml:space="preserve">    return U**gamma / (1.0 + U**gamma)</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p_single(Ce, C50, gamma):</w:t>
      </w:r>
    </w:p>
    <w:p>
      <w:pPr>
        <w:shd w:fill="F2F2F2" w:val="clear"/>
        <w:spacing w:after="0" w:before="0"/>
        <w:ind w:left="360"/>
      </w:pPr>
      <w:r>
        <w:rPr>
          <w:rFonts w:ascii="Courier New" w:cs="Courier New" w:eastAsia="Courier New" w:hAnsi="Courier New"/>
          <w:color w:val="1A1A1A"/>
          <w:sz w:val="18"/>
          <w:szCs w:val="18"/>
        </w:rPr>
        <w:t xml:space="preserve">    return Ce**gamma / (C50**gamma + Ce**gamma)</w:t>
      </w:r>
    </w:p>
    <w:p>
      <w:pPr>
        <w:spacing w:after="60" w:before="60"/>
      </w:pPr>
      <w:r>
        <w:rPr>
          <w:sz w:val="22"/>
          <w:szCs w:val="22"/>
        </w:rPr>
        <w:t xml:space="preserve">In the app, evaluate p_event at each time point on the two Ce traces and draw a probability-vs-time curve for each selected endpoint, alongside Cp / Ce / BIS.</w:t>
      </w:r>
    </w:p>
    <w:p>
      <w:pPr>
        <w:spacing w:after="40" w:before="140"/>
      </w:pPr>
      <w:r>
        <w:rPr>
          <w:b/>
          <w:bCs/>
          <w:color w:val="2E75B6"/>
          <w:sz w:val="24"/>
          <w:szCs w:val="24"/>
        </w:rPr>
        <w:t xml:space="preserve">Exercises</w:t>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2CC" w:val="clear"/>
            <w:tcMar>
              <w:top w:type="dxa" w:w="80"/>
              <w:left w:type="dxa" w:w="140"/>
              <w:bottom w:type="dxa" w:w="80"/>
              <w:right w:type="dxa" w:w="140"/>
            </w:tcMar>
          </w:tcPr>
          <w:p>
            <w:pPr>
              <w:spacing w:after="20" w:before="20"/>
            </w:pPr>
            <w:r>
              <w:rPr>
                <w:b/>
                <w:bCs/>
                <w:sz w:val="22"/>
                <w:szCs w:val="22"/>
              </w:rPr>
              <w:t xml:space="preserve">Exercise 18.1: Reading the Surface</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40"/>
              <w:bottom w:type="dxa" w:w="80"/>
              <w:right w:type="dxa" w:w="140"/>
            </w:tcMar>
          </w:tcPr>
          <w:p>
            <w:pPr>
              <w:spacing w:after="60" w:before="60"/>
            </w:pPr>
            <w:r>
              <w:rPr>
                <w:sz w:val="22"/>
                <w:szCs w:val="22"/>
              </w:rPr>
              <w:t xml:space="preserve">Using p_event with C50P = 3.0, C50R = 3.0, γ = 4, α = 3 (laryngoscopy), compute P at (a) CeP = 3, CeR = 0; (b) CeP = 0, CeR = 3; (c) CeP = 1.5, CeR = 1.5. What does comparing (a) and (b) with (c) show?</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2EFDA" w:val="clear"/>
            <w:tcMar>
              <w:top w:type="dxa" w:w="80"/>
              <w:left w:type="dxa" w:w="140"/>
              <w:bottom w:type="dxa" w:w="80"/>
              <w:right w:type="dxa" w:w="140"/>
            </w:tcMar>
          </w:tcPr>
          <w:p>
            <w:pPr>
              <w:spacing w:after="60" w:before="60"/>
            </w:pPr>
            <w:r>
              <w:rPr>
                <w:sz w:val="22"/>
                <w:szCs w:val="22"/>
              </w:rPr>
              <w:t xml:space="preserve">(a) UP = 1, UR = 0, U = 1, P = 1 / 2 = 0.50.  </w:t>
            </w:r>
          </w:p>
          <w:p>
            <w:pPr>
              <w:spacing w:after="60" w:before="60"/>
            </w:pPr>
            <w:r>
              <w:rPr>
                <w:sz w:val="22"/>
                <w:szCs w:val="22"/>
              </w:rPr>
              <w:t xml:space="preserve">(b) UR = 1, U = 1, P = 0.50.  </w:t>
            </w:r>
          </w:p>
          <w:p>
            <w:pPr>
              <w:spacing w:after="60" w:before="60"/>
            </w:pPr>
            <w:r>
              <w:rPr>
                <w:sz w:val="22"/>
                <w:szCs w:val="22"/>
              </w:rPr>
              <w:t xml:space="preserve">(c) U = 1.75, P = 0.90.  </w:t>
            </w:r>
          </w:p>
          <w:p>
            <w:pPr>
              <w:spacing w:after="60" w:before="60"/>
            </w:pPr>
            <w:r>
              <w:rPr>
                <w:sz w:val="22"/>
                <w:szCs w:val="22"/>
              </w:rPr>
              <w:t xml:space="preserve">Each drug alone at its C50 gives 50%; split equally with synergy gives 90% — the dose-sparing of the combination. That is the isobole bowing toward the origin (Week 15).</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2CC" w:val="clear"/>
            <w:tcMar>
              <w:top w:type="dxa" w:w="80"/>
              <w:left w:type="dxa" w:w="140"/>
              <w:bottom w:type="dxa" w:w="80"/>
              <w:right w:type="dxa" w:w="140"/>
            </w:tcMar>
          </w:tcPr>
          <w:p>
            <w:pPr>
              <w:spacing w:after="20" w:before="20"/>
            </w:pPr>
            <w:r>
              <w:rPr>
                <w:b/>
                <w:bCs/>
                <w:sz w:val="22"/>
                <w:szCs w:val="22"/>
              </w:rPr>
              <w:t xml:space="preserve">Exercise 18.2: Why Laryngoscopy Needs an Opioid</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40"/>
              <w:bottom w:type="dxa" w:w="80"/>
              <w:right w:type="dxa" w:w="140"/>
            </w:tcMar>
          </w:tcPr>
          <w:p>
            <w:pPr>
              <w:spacing w:after="60" w:before="60"/>
            </w:pPr>
            <w:r>
              <w:rPr>
                <w:sz w:val="22"/>
                <w:szCs w:val="22"/>
              </w:rPr>
              <w:t xml:space="preserve">(a) With α = 0 (additive) and the same C50s, recompute (c) CeP = 1.5, CeR = 1.5.  </w:t>
            </w:r>
          </w:p>
          <w:p>
            <w:pPr>
              <w:spacing w:after="60" w:before="60"/>
            </w:pPr>
            <w:r>
              <w:rPr>
                <w:sz w:val="22"/>
                <w:szCs w:val="22"/>
              </w:rPr>
              <w:t xml:space="preserve">(b) How much propofol-only Ce would reach P = 0.90 for laryngoscopy?  </w:t>
            </w:r>
          </w:p>
          <w:p>
            <w:pPr>
              <w:spacing w:after="60" w:before="60"/>
            </w:pPr>
            <w:r>
              <w:rPr>
                <w:sz w:val="22"/>
                <w:szCs w:val="22"/>
              </w:rPr>
              <w:t xml:space="preserve">(c) State the clinical lesson in one sentence.</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2EFDA" w:val="clear"/>
            <w:tcMar>
              <w:top w:type="dxa" w:w="80"/>
              <w:left w:type="dxa" w:w="140"/>
              <w:bottom w:type="dxa" w:w="80"/>
              <w:right w:type="dxa" w:w="140"/>
            </w:tcMar>
          </w:tcPr>
          <w:p>
            <w:pPr>
              <w:spacing w:after="60" w:before="60"/>
            </w:pPr>
            <w:r>
              <w:rPr>
                <w:sz w:val="22"/>
                <w:szCs w:val="22"/>
              </w:rPr>
              <w:t xml:space="preserve">(a) α = 0: U = 0.5 + 0.5 = 1.0, P = 0.50 — only 50% without synergy.  </w:t>
            </w:r>
          </w:p>
          <w:p>
            <w:pPr>
              <w:spacing w:after="60" w:before="60"/>
            </w:pPr>
            <w:r>
              <w:rPr>
                <w:sz w:val="22"/>
                <w:szCs w:val="22"/>
              </w:rPr>
              <w:t xml:space="preserve">(b) Solve U^4/(1+U^4) = 0.9 → U^4 = 9 → U = 1.73; propofol only → CeP = 1.73 × 3.0 = 5.2 µg/mL — a deep, hemodynamically costly level.  </w:t>
            </w:r>
          </w:p>
          <w:p>
            <w:pPr>
              <w:spacing w:after="60" w:before="60"/>
            </w:pPr>
            <w:r>
              <w:rPr>
                <w:sz w:val="22"/>
                <w:szCs w:val="22"/>
              </w:rPr>
              <w:t xml:space="preserve">(c) Adding remifentanil achieves intubating conditions at far lower propofol concentrations than propofol could alone — the essence of balanced induction.</w:t>
            </w:r>
          </w:p>
        </w:tc>
      </w:tr>
    </w:tbl>
    <w:p>
      <w:pPr>
        <w:spacing w:after="40" w:before="140"/>
      </w:pPr>
      <w:r>
        <w:rPr>
          <w:b/>
          <w:bCs/>
          <w:color w:val="2E75B6"/>
          <w:sz w:val="24"/>
          <w:szCs w:val="24"/>
        </w:rPr>
        <w:t xml:space="preserve">References</w:t>
      </w:r>
    </w:p>
    <w:p>
      <w:pPr>
        <w:spacing w:after="60" w:before="60"/>
      </w:pPr>
      <w:r>
        <w:rPr>
          <w:sz w:val="22"/>
          <w:szCs w:val="22"/>
        </w:rPr>
        <w:t xml:space="preserve">Bouillon TW, Bruhn J, Radulescu L, et al. Pharmacodynamic interaction between propofol and remifentanil regarding hypnosis, tolerance of laryngoscopy, bispectral index, and EEG approximate entropy. Anesthesiology. 2004;100:1353-1372. Kern SE, Xie G, White JL, Egan TD. A response surface analysis of propofol–remifentanil pharmacodynamic interaction in volunteers. Anesthesiology. 2004;100:1373-1381. Johnson KB, Syroid ND, Gupta DK, et al. An evaluation of remifentanil–propofol response surfaces for loss of responsiveness, loss of response to surrogates of painful stimuli and laryngoscopy. Anesth Analg. 2008;106:471-479.</w:t>
      </w:r>
    </w:p>
    <w:p>
      <w:r>
        <w:br w:type="page"/>
      </w:r>
    </w:p>
    <w:p>
      <w:pPr>
        <w:pStyle w:val="Heading2"/>
        <w:pBdr>
          <w:bottom w:val="single" w:color="2E75B6" w:sz="4" w:space="1"/>
        </w:pBdr>
        <w:spacing w:after="80" w:before="240"/>
      </w:pPr>
      <w:r>
        <w:rPr>
          <w:b/>
          <w:bCs/>
          <w:color w:val="1E4E79"/>
        </w:rPr>
        <w:t xml:space="preserve">Week 19 — Special Populations: Pregnancy and Renal Dysfunction</w:t>
      </w:r>
    </w:p>
    <w:p>
      <w:r>
        <w:rPr>
          <w:b/>
          <w:color w:val="1F4E79"/>
        </w:rPr>
        <w:t>➜ Build this in: covariates.py — apply_covariates and scaled_model, using the pregnancy &amp; renal factor tables. Kept separate from patient.py by design (patient.py deliberately omits covariates).</w:t>
      </w:r>
    </w:p>
    <w:p>
      <w:pPr>
        <w:spacing w:after="60" w:before="60"/>
      </w:pPr>
      <w:r>
        <w:rPr>
          <w:b/>
          <w:bCs/>
          <w:sz w:val="22"/>
          <w:szCs w:val="22"/>
        </w:rPr>
        <w:t xml:space="preserve">Goal: </w:t>
      </w:r>
      <w:r>
        <w:rPr>
          <w:sz w:val="22"/>
          <w:szCs w:val="22"/>
        </w:rPr>
        <w:t xml:space="preserve">adjust PK for two covariates that stanpumpR exposes in its interface but does not yet model — pregnancy and renal dysfunction — for propofol, remifentanil, fentanyl, and dexmedetomidine, and be honest about where the data run out.</w:t>
      </w:r>
    </w:p>
    <w:p>
      <w:pPr>
        <w:spacing w:after="60" w:before="60"/>
      </w:pPr>
      <w:r>
        <w:rPr>
          <w:b/>
          <w:bCs/>
          <w:sz w:val="22"/>
          <w:szCs w:val="22"/>
        </w:rPr>
        <w:t xml:space="preserve">Builds on: </w:t>
      </w:r>
      <w:r>
        <w:rPr>
          <w:sz w:val="22"/>
          <w:szCs w:val="22"/>
        </w:rPr>
        <w:t xml:space="preserve">the covariate models (Week 9). Builds toward: covariate toggles in the app (the Streamlit build guide).</w:t>
      </w:r>
    </w:p>
    <w:p>
      <w:pPr>
        <w:spacing w:after="40" w:before="140"/>
      </w:pPr>
      <w:r>
        <w:rPr>
          <w:b/>
          <w:bCs/>
          <w:color w:val="2E75B6"/>
          <w:sz w:val="24"/>
          <w:szCs w:val="24"/>
        </w:rPr>
        <w:t xml:space="preserve">Concept — the physiology first</w:t>
      </w:r>
    </w:p>
    <w:p>
      <w:pPr>
        <w:spacing w:after="60" w:before="60"/>
      </w:pPr>
      <w:r>
        <w:rPr>
          <w:sz w:val="22"/>
          <w:szCs w:val="22"/>
        </w:rPr>
        <w:t xml:space="preserve">Pregnancy at term moves PK in predictable directions: cardiac output up ~40–50% (faster onset; higher clearance for flow-limited drugs), plasma volume and total body water up ~40–50% (larger volumes → lower peak per dose), plasma albumin down (higher free fraction of highly bound drugs), hepatic blood flow up, and GFR up ~50% (faster renal elimination of renally cleared drugs and metabolites).</w:t>
      </w:r>
    </w:p>
    <w:p>
      <w:pPr>
        <w:spacing w:after="60" w:before="60"/>
      </w:pPr>
      <w:r>
        <w:rPr>
          <w:sz w:val="22"/>
          <w:szCs w:val="22"/>
        </w:rPr>
        <w:t xml:space="preserve">Renal dysfunction matters only for drugs — or metabolites — cleared by the kidney. Most anesthetic hypnotics and short opioids are not, which is why several are strikingly unaffected.</w:t>
      </w:r>
    </w:p>
    <w:p>
      <w:pPr>
        <w:spacing w:after="40" w:before="140"/>
      </w:pPr>
      <w:r>
        <w:rPr>
          <w:b/>
          <w:bCs/>
          <w:color w:val="2E75B6"/>
          <w:sz w:val="24"/>
          <w:szCs w:val="24"/>
        </w:rPr>
        <w:t xml:space="preserve">Propofol</w:t>
      </w:r>
    </w:p>
    <w:p>
      <w:pPr>
        <w:spacing w:after="60" w:before="60"/>
      </w:pPr>
      <w:r>
        <w:rPr>
          <w:sz w:val="22"/>
          <w:szCs w:val="22"/>
        </w:rPr>
        <w:t xml:space="preserve">Pregnancy: clearance rises (it tracks cardiac output / hepatic blood flow); central and peripheral volumes rise with plasma volume. Net: faster onset, and a modestly higher infusion to hold a target. Robust human parametric covariate equations for pregnancy are limited.</w:t>
      </w:r>
    </w:p>
    <w:p>
      <w:pPr>
        <w:spacing w:after="60" w:before="60"/>
      </w:pPr>
      <w:r>
        <w:rPr>
          <w:sz w:val="22"/>
          <w:szCs w:val="22"/>
        </w:rPr>
        <w:t xml:space="preserve">Renal: essentially unchanged — propofol is cleared hepatically and extrahepatically. No dose adjustment for renal failure.</w:t>
      </w:r>
    </w:p>
    <w:p>
      <w:pPr>
        <w:spacing w:after="40" w:before="140"/>
      </w:pPr>
      <w:r>
        <w:rPr>
          <w:b/>
          <w:bCs/>
          <w:color w:val="2E75B6"/>
          <w:sz w:val="24"/>
          <w:szCs w:val="24"/>
        </w:rPr>
        <w:t xml:space="preserve">Remifentanil</w:t>
      </w:r>
    </w:p>
    <w:p>
      <w:pPr>
        <w:spacing w:after="60" w:before="60"/>
      </w:pPr>
      <w:r>
        <w:rPr>
          <w:sz w:val="22"/>
          <w:szCs w:val="22"/>
        </w:rPr>
        <w:t xml:space="preserve">Pregnancy: clearance and volume both increased, with faster onset from higher cardiac output. This is the best-characterized of the four; esterase metabolism is abundant and unaffected by organ disease.</w:t>
      </w:r>
    </w:p>
    <w:p>
      <w:pPr>
        <w:spacing w:after="60" w:before="60"/>
      </w:pPr>
      <w:r>
        <w:rPr>
          <w:sz w:val="22"/>
          <w:szCs w:val="22"/>
        </w:rPr>
        <w:t xml:space="preserve">Renal: parent PK unchanged (esterases). The metabolite remifentanil acid (GR90291) is renally cleared and accumulates markedly — half-life rises from ~1.5 h to more than 26 h, steady-state levels can be &gt;25× higher — but it is about 1/4600 as potent, so it has no clinically meaningful effect. No dose adjustment.</w:t>
      </w:r>
    </w:p>
    <w:p>
      <w:pPr>
        <w:spacing w:after="40" w:before="140"/>
      </w:pPr>
      <w:r>
        <w:rPr>
          <w:b/>
          <w:bCs/>
          <w:color w:val="2E75B6"/>
          <w:sz w:val="24"/>
          <w:szCs w:val="24"/>
        </w:rPr>
        <w:t xml:space="preserve">Fentanyl</w:t>
      </w:r>
    </w:p>
    <w:p>
      <w:pPr>
        <w:spacing w:after="60" w:before="60"/>
      </w:pPr>
      <w:r>
        <w:rPr>
          <w:sz w:val="22"/>
          <w:szCs w:val="22"/>
        </w:rPr>
        <w:t xml:space="preserve">Pregnancy: a high-hepatic-extraction opioid, so clearance follows hepatic blood flow (which rises); lower albumin raises the free fraction. Direction: faster onset, somewhat higher clearance; parametric pregnancy data are limited.</w:t>
      </w:r>
    </w:p>
    <w:p>
      <w:pPr>
        <w:spacing w:after="60" w:before="60"/>
      </w:pPr>
      <w:r>
        <w:rPr>
          <w:sz w:val="22"/>
          <w:szCs w:val="22"/>
        </w:rPr>
        <w:t xml:space="preserve">Renal: fentanyl (like alfentanil and sufentanil) PK is not altered by renal failure; norfentanyl is inactive. Titrate normally. The classic renal-accumulation caution is for morphine (M6G) and meperidine (normeperidine), not fentanyl.</w:t>
      </w:r>
    </w:p>
    <w:p>
      <w:pPr>
        <w:spacing w:after="40" w:before="140"/>
      </w:pPr>
      <w:r>
        <w:rPr>
          <w:b/>
          <w:bCs/>
          <w:color w:val="2E75B6"/>
          <w:sz w:val="24"/>
          <w:szCs w:val="24"/>
        </w:rPr>
        <w:t xml:space="preserve">Dexmedetomidine</w:t>
      </w:r>
    </w:p>
    <w:p>
      <w:pPr>
        <w:spacing w:after="60" w:before="60"/>
      </w:pPr>
      <w:r>
        <w:rPr>
          <w:sz w:val="22"/>
          <w:szCs w:val="22"/>
        </w:rPr>
        <w:t xml:space="preserve">Pregnancy: crosses the placenta; human PK data in pregnancy are sparse and use is cautious. Treat any adjustment as provisional.</w:t>
      </w:r>
    </w:p>
    <w:p>
      <w:pPr>
        <w:spacing w:after="60" w:before="60"/>
      </w:pPr>
      <w:r>
        <w:rPr>
          <w:sz w:val="22"/>
          <w:szCs w:val="22"/>
        </w:rPr>
        <w:t xml:space="preserve">Renal: PK parameters (clearance, volume) are essentially unchanged in severe renal impairment — but sedation is prolonged, attributed to altered protein binding / higher free fraction. Reduce the maintenance dose and titrate. For context, the dominant modifier of dex clearance is hepatic function: clearance falls to roughly 74%, 64%, and 53% of normal in mild, moderate, and severe hepatic impairment.</w:t>
      </w:r>
    </w:p>
    <w:p>
      <w:pPr>
        <w:spacing w:after="40" w:before="140"/>
      </w:pPr>
      <w:r>
        <w:rPr>
          <w:b/>
          <w:bCs/>
          <w:color w:val="2E75B6"/>
          <w:sz w:val="24"/>
          <w:szCs w:val="24"/>
        </w:rPr>
        <w:t xml:space="preserve">Modeling approach for the app</w:t>
      </w:r>
    </w:p>
    <w:p>
      <w:pPr>
        <w:spacing w:after="60" w:before="60"/>
      </w:pPr>
      <w:r>
        <w:rPr>
          <w:sz w:val="22"/>
          <w:szCs w:val="22"/>
        </w:rPr>
        <w:t xml:space="preserve">Because validated parametric covariate equations are thin (especially pregnancy, and especially dexmedetomidine), implement these as explicit, adjustable scaling factors on clearance and volume, defaulting to physiologic direction, and surface a caveat in the UI — exactly the stub state stanpumpR itself is in. A reasonable first pass (multiply the model’s CL and volumes):</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2100"/>
        <w:gridCol w:w="1700"/>
        <w:gridCol w:w="1500"/>
        <w:gridCol w:w="1700"/>
        <w:gridCol w:w="2360"/>
      </w:tblGrid>
      <w:tr>
        <w:tc>
          <w:tcPr>
            <w:tcW w:type="dxa" w:w="2100"/>
            <w:tcBorders>
              <w:top w:val="single" w:color="AAAAAA" w:sz="1"/>
              <w:left w:val="single" w:color="AAAAAA" w:sz="1"/>
              <w:bottom w:val="single" w:color="AAAAAA" w:sz="1"/>
              <w:right w:val="single" w:color="AAAAAA" w:sz="1"/>
            </w:tcBorders>
            <w:shd w:fill="D6E4F0" w:val="clear"/>
            <w:tcMar>
              <w:top w:type="dxa" w:w="40"/>
              <w:left w:type="dxa" w:w="100"/>
              <w:bottom w:type="dxa" w:w="40"/>
              <w:right w:type="dxa" w:w="100"/>
            </w:tcMar>
          </w:tcPr>
          <w:p>
            <w:pPr>
              <w:spacing w:after="20" w:before="20"/>
            </w:pPr>
            <w:r>
              <w:rPr>
                <w:b/>
                <w:bCs/>
                <w:sz w:val="22"/>
                <w:szCs w:val="22"/>
              </w:rPr>
              <w:t xml:space="preserve">Drug</w:t>
            </w:r>
          </w:p>
        </w:tc>
        <w:tc>
          <w:tcPr>
            <w:tcW w:type="dxa" w:w="1700"/>
            <w:tcBorders>
              <w:top w:val="single" w:color="AAAAAA" w:sz="1"/>
              <w:left w:val="single" w:color="AAAAAA" w:sz="1"/>
              <w:bottom w:val="single" w:color="AAAAAA" w:sz="1"/>
              <w:right w:val="single" w:color="AAAAAA" w:sz="1"/>
            </w:tcBorders>
            <w:shd w:fill="D6E4F0" w:val="clear"/>
            <w:tcMar>
              <w:top w:type="dxa" w:w="40"/>
              <w:left w:type="dxa" w:w="100"/>
              <w:bottom w:type="dxa" w:w="40"/>
              <w:right w:type="dxa" w:w="100"/>
            </w:tcMar>
          </w:tcPr>
          <w:p>
            <w:pPr>
              <w:spacing w:after="20" w:before="20"/>
            </w:pPr>
            <w:r>
              <w:rPr>
                <w:b/>
                <w:bCs/>
                <w:sz w:val="22"/>
                <w:szCs w:val="22"/>
              </w:rPr>
              <w:t xml:space="preserve">Pregnancy CL</w:t>
            </w:r>
          </w:p>
        </w:tc>
        <w:tc>
          <w:tcPr>
            <w:tcW w:type="dxa" w:w="1500"/>
            <w:tcBorders>
              <w:top w:val="single" w:color="AAAAAA" w:sz="1"/>
              <w:left w:val="single" w:color="AAAAAA" w:sz="1"/>
              <w:bottom w:val="single" w:color="AAAAAA" w:sz="1"/>
              <w:right w:val="single" w:color="AAAAAA" w:sz="1"/>
            </w:tcBorders>
            <w:shd w:fill="D6E4F0" w:val="clear"/>
            <w:tcMar>
              <w:top w:type="dxa" w:w="40"/>
              <w:left w:type="dxa" w:w="100"/>
              <w:bottom w:type="dxa" w:w="40"/>
              <w:right w:type="dxa" w:w="100"/>
            </w:tcMar>
          </w:tcPr>
          <w:p>
            <w:pPr>
              <w:spacing w:after="20" w:before="20"/>
            </w:pPr>
            <w:r>
              <w:rPr>
                <w:b/>
                <w:bCs/>
                <w:sz w:val="22"/>
                <w:szCs w:val="22"/>
              </w:rPr>
              <w:t xml:space="preserve">Pregnancy V</w:t>
            </w:r>
          </w:p>
        </w:tc>
        <w:tc>
          <w:tcPr>
            <w:tcW w:type="dxa" w:w="1700"/>
            <w:tcBorders>
              <w:top w:val="single" w:color="AAAAAA" w:sz="1"/>
              <w:left w:val="single" w:color="AAAAAA" w:sz="1"/>
              <w:bottom w:val="single" w:color="AAAAAA" w:sz="1"/>
              <w:right w:val="single" w:color="AAAAAA" w:sz="1"/>
            </w:tcBorders>
            <w:shd w:fill="D6E4F0" w:val="clear"/>
            <w:tcMar>
              <w:top w:type="dxa" w:w="40"/>
              <w:left w:type="dxa" w:w="100"/>
              <w:bottom w:type="dxa" w:w="40"/>
              <w:right w:type="dxa" w:w="100"/>
            </w:tcMar>
          </w:tcPr>
          <w:p>
            <w:pPr>
              <w:spacing w:after="20" w:before="20"/>
            </w:pPr>
            <w:r>
              <w:rPr>
                <w:b/>
                <w:bCs/>
                <w:sz w:val="22"/>
                <w:szCs w:val="22"/>
              </w:rPr>
              <w:t xml:space="preserve">Renal (severe) CL</w:t>
            </w:r>
          </w:p>
        </w:tc>
        <w:tc>
          <w:tcPr>
            <w:tcW w:type="dxa" w:w="2360"/>
            <w:tcBorders>
              <w:top w:val="single" w:color="AAAAAA" w:sz="1"/>
              <w:left w:val="single" w:color="AAAAAA" w:sz="1"/>
              <w:bottom w:val="single" w:color="AAAAAA" w:sz="1"/>
              <w:right w:val="single" w:color="AAAAAA" w:sz="1"/>
            </w:tcBorders>
            <w:shd w:fill="D6E4F0" w:val="clear"/>
            <w:tcMar>
              <w:top w:type="dxa" w:w="40"/>
              <w:left w:type="dxa" w:w="100"/>
              <w:bottom w:type="dxa" w:w="40"/>
              <w:right w:type="dxa" w:w="100"/>
            </w:tcMar>
          </w:tcPr>
          <w:p>
            <w:pPr>
              <w:spacing w:after="20" w:before="20"/>
            </w:pPr>
            <w:r>
              <w:rPr>
                <w:b/>
                <w:bCs/>
                <w:sz w:val="22"/>
                <w:szCs w:val="22"/>
              </w:rPr>
              <w:t xml:space="preserve">Renal note</w:t>
            </w:r>
          </w:p>
        </w:tc>
      </w:tr>
      <w:tr>
        <w:tc>
          <w:tcPr>
            <w:tcW w:type="dxa" w:w="21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Propofol</w:t>
            </w:r>
          </w:p>
        </w:tc>
        <w:tc>
          <w:tcPr>
            <w:tcW w:type="dxa" w:w="17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×1.2–1.5</w:t>
            </w:r>
          </w:p>
        </w:tc>
        <w:tc>
          <w:tcPr>
            <w:tcW w:type="dxa" w:w="15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×1.2–1.4</w:t>
            </w:r>
          </w:p>
        </w:tc>
        <w:tc>
          <w:tcPr>
            <w:tcW w:type="dxa" w:w="17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×1.0</w:t>
            </w:r>
          </w:p>
        </w:tc>
        <w:tc>
          <w:tcPr>
            <w:tcW w:type="dxa" w:w="236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no change</w:t>
            </w:r>
          </w:p>
        </w:tc>
      </w:tr>
      <w:tr>
        <w:tc>
          <w:tcPr>
            <w:tcW w:type="dxa" w:w="21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Remifentanil</w:t>
            </w:r>
          </w:p>
        </w:tc>
        <w:tc>
          <w:tcPr>
            <w:tcW w:type="dxa" w:w="17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×1.2–1.4</w:t>
            </w:r>
          </w:p>
        </w:tc>
        <w:tc>
          <w:tcPr>
            <w:tcW w:type="dxa" w:w="15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×1.2</w:t>
            </w:r>
          </w:p>
        </w:tc>
        <w:tc>
          <w:tcPr>
            <w:tcW w:type="dxa" w:w="17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×1.0</w:t>
            </w:r>
          </w:p>
        </w:tc>
        <w:tc>
          <w:tcPr>
            <w:tcW w:type="dxa" w:w="236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metabolite only; negligible</w:t>
            </w:r>
          </w:p>
        </w:tc>
      </w:tr>
      <w:tr>
        <w:tc>
          <w:tcPr>
            <w:tcW w:type="dxa" w:w="21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Fentanyl</w:t>
            </w:r>
          </w:p>
        </w:tc>
        <w:tc>
          <w:tcPr>
            <w:tcW w:type="dxa" w:w="17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×1.1–1.3</w:t>
            </w:r>
          </w:p>
        </w:tc>
        <w:tc>
          <w:tcPr>
            <w:tcW w:type="dxa" w:w="15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×1.1</w:t>
            </w:r>
          </w:p>
        </w:tc>
        <w:tc>
          <w:tcPr>
            <w:tcW w:type="dxa" w:w="17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×1.0</w:t>
            </w:r>
          </w:p>
        </w:tc>
        <w:tc>
          <w:tcPr>
            <w:tcW w:type="dxa" w:w="236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titrate; no PK change</w:t>
            </w:r>
          </w:p>
        </w:tc>
      </w:tr>
      <w:tr>
        <w:tc>
          <w:tcPr>
            <w:tcW w:type="dxa" w:w="21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Dexmedetomidine</w:t>
            </w:r>
          </w:p>
        </w:tc>
        <w:tc>
          <w:tcPr>
            <w:tcW w:type="dxa" w:w="17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uncertain</w:t>
            </w:r>
          </w:p>
        </w:tc>
        <w:tc>
          <w:tcPr>
            <w:tcW w:type="dxa" w:w="15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uncertain</w:t>
            </w:r>
          </w:p>
        </w:tc>
        <w:tc>
          <w:tcPr>
            <w:tcW w:type="dxa" w:w="170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×1.0</w:t>
            </w:r>
          </w:p>
        </w:tc>
        <w:tc>
          <w:tcPr>
            <w:tcW w:type="dxa" w:w="2360"/>
            <w:tcBorders>
              <w:top w:val="single" w:color="AAAAAA" w:sz="1"/>
              <w:left w:val="single" w:color="AAAAAA" w:sz="1"/>
              <w:bottom w:val="single" w:color="AAAAAA" w:sz="1"/>
              <w:right w:val="single" w:color="AAAAAA" w:sz="1"/>
            </w:tcBorders>
            <w:shd w:fill="FFFFFF" w:val="clear"/>
            <w:tcMar>
              <w:top w:type="dxa" w:w="40"/>
              <w:left w:type="dxa" w:w="100"/>
              <w:bottom w:type="dxa" w:w="40"/>
              <w:right w:type="dxa" w:w="100"/>
            </w:tcMar>
          </w:tcPr>
          <w:p>
            <w:pPr>
              <w:spacing w:after="20" w:before="20"/>
            </w:pPr>
            <w:r>
              <w:rPr>
                <w:sz w:val="22"/>
                <w:szCs w:val="22"/>
              </w:rPr>
              <w:t xml:space="preserve">PK unchanged; sedation prolonged</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2CC" w:val="clear"/>
            <w:tcMar>
              <w:top w:type="dxa" w:w="80"/>
              <w:left w:type="dxa" w:w="140"/>
              <w:bottom w:type="dxa" w:w="80"/>
              <w:right w:type="dxa" w:w="140"/>
            </w:tcMar>
          </w:tcPr>
          <w:p>
            <w:pPr>
              <w:spacing w:after="20" w:before="20"/>
            </w:pPr>
            <w:r>
              <w:rPr>
                <w:b/>
                <w:bCs/>
                <w:sz w:val="22"/>
                <w:szCs w:val="22"/>
              </w:rPr>
              <w:t xml:space="preserve">Honesty note</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2EFDA" w:val="clear"/>
            <w:tcMar>
              <w:top w:type="dxa" w:w="80"/>
              <w:left w:type="dxa" w:w="140"/>
              <w:bottom w:type="dxa" w:w="80"/>
              <w:right w:type="dxa" w:w="140"/>
            </w:tcMar>
          </w:tcPr>
          <w:p>
            <w:pPr>
              <w:spacing w:after="60" w:before="60"/>
            </w:pPr>
            <w:r>
              <w:rPr>
                <w:sz w:val="22"/>
                <w:szCs w:val="22"/>
              </w:rPr>
              <w:t xml:space="preserve">These multipliers are directionally correct engineering defaults for teaching, not validated population models. Label them clearly in the app, keep them user-editable, and never present a covariate-adjusted number as clinical guidance.</w:t>
            </w:r>
          </w:p>
        </w:tc>
      </w:tr>
    </w:tbl>
    <w:p>
      <w:pPr>
        <w:spacing w:after="40" w:before="140"/>
      </w:pPr>
      <w:r>
        <w:rPr>
          <w:b/>
          <w:bCs/>
          <w:color w:val="2E75B6"/>
          <w:sz w:val="24"/>
          <w:szCs w:val="24"/>
        </w:rPr>
        <w:t xml:space="preserve">By Hand</w:t>
      </w:r>
    </w:p>
    <w:p>
      <w:pPr>
        <w:spacing w:after="60" w:before="60"/>
      </w:pPr>
      <w:r>
        <w:rPr>
          <w:sz w:val="22"/>
          <w:szCs w:val="22"/>
        </w:rPr>
        <w:t xml:space="preserve">Remifentanil in a term parturient, applying a pregnancy CL factor of 1.3 and V factor of 1.2 to the base model: (a) steady-state maintenance rate = Ct · CL, so it rises 30% to hold the same target; (b) the larger V1 lowers the peak from a fixed bolus by 1/1.2, since Cp(0) = dose/V1; (c) higher cardiac output speeds onset. A pregnant patient needs a bit more remifentanil to hold the same concentration but reaches it faster — both consistent with the physiology.</w:t>
      </w:r>
    </w:p>
    <w:p>
      <w:pPr>
        <w:spacing w:after="40" w:before="140"/>
      </w:pPr>
      <w:r>
        <w:rPr>
          <w:b/>
          <w:bCs/>
          <w:color w:val="2E75B6"/>
          <w:sz w:val="24"/>
          <w:szCs w:val="24"/>
        </w:rPr>
        <w:t xml:space="preserve">Exercises</w:t>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2CC" w:val="clear"/>
            <w:tcMar>
              <w:top w:type="dxa" w:w="80"/>
              <w:left w:type="dxa" w:w="140"/>
              <w:bottom w:type="dxa" w:w="80"/>
              <w:right w:type="dxa" w:w="140"/>
            </w:tcMar>
          </w:tcPr>
          <w:p>
            <w:pPr>
              <w:spacing w:after="20" w:before="20"/>
            </w:pPr>
            <w:r>
              <w:rPr>
                <w:b/>
                <w:bCs/>
                <w:sz w:val="22"/>
                <w:szCs w:val="22"/>
              </w:rPr>
              <w:t xml:space="preserve">Exercise 19.1: Clearance Sets the Maintenance Rate</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40"/>
              <w:bottom w:type="dxa" w:w="80"/>
              <w:right w:type="dxa" w:w="140"/>
            </w:tcMar>
          </w:tcPr>
          <w:p>
            <w:pPr>
              <w:spacing w:after="60" w:before="60"/>
            </w:pPr>
            <w:r>
              <w:rPr>
                <w:sz w:val="22"/>
                <w:szCs w:val="22"/>
              </w:rPr>
              <w:t xml:space="preserve">A drug’s steady-state maintenance rate is rate = Ct · CL. If pregnancy raises CL by 30% and you keep the same target Ct, how does the rate change? If instead you kept the same infusion rate, what happens to Ct?</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2EFDA" w:val="clear"/>
            <w:tcMar>
              <w:top w:type="dxa" w:w="80"/>
              <w:left w:type="dxa" w:w="140"/>
              <w:bottom w:type="dxa" w:w="80"/>
              <w:right w:type="dxa" w:w="140"/>
            </w:tcMar>
          </w:tcPr>
          <w:p>
            <w:pPr>
              <w:spacing w:after="60" w:before="60"/>
            </w:pPr>
            <w:r>
              <w:rPr>
                <w:sz w:val="22"/>
                <w:szCs w:val="22"/>
              </w:rPr>
              <w:t xml:space="preserve">Rate scales with CL: +30% (rate → 1.3 · Ct · CL) to hold the same target.  </w:t>
            </w:r>
          </w:p>
          <w:p>
            <w:pPr>
              <w:spacing w:after="60" w:before="60"/>
            </w:pPr>
            <w:r>
              <w:rPr>
                <w:sz w:val="22"/>
                <w:szCs w:val="22"/>
              </w:rPr>
              <w:t xml:space="preserve">Keep the old rate and steady-state Ct = rate/CL falls to 1/1.3 = 0.77× — about 23% lower. Under-dosing is the failure mode if you ignore the covariate.</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2CC" w:val="clear"/>
            <w:tcMar>
              <w:top w:type="dxa" w:w="80"/>
              <w:left w:type="dxa" w:w="140"/>
              <w:bottom w:type="dxa" w:w="80"/>
              <w:right w:type="dxa" w:w="140"/>
            </w:tcMar>
          </w:tcPr>
          <w:p>
            <w:pPr>
              <w:spacing w:after="20" w:before="20"/>
            </w:pPr>
            <w:r>
              <w:rPr>
                <w:b/>
                <w:bCs/>
                <w:sz w:val="22"/>
                <w:szCs w:val="22"/>
              </w:rPr>
              <w:t xml:space="preserve">Exercise 19.2: Which Covariate Actually Matters?</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40"/>
              <w:bottom w:type="dxa" w:w="80"/>
              <w:right w:type="dxa" w:w="140"/>
            </w:tcMar>
          </w:tcPr>
          <w:p>
            <w:pPr>
              <w:spacing w:after="60" w:before="60"/>
            </w:pPr>
            <w:r>
              <w:rPr>
                <w:sz w:val="22"/>
                <w:szCs w:val="22"/>
              </w:rPr>
              <w:t xml:space="preserve">For a patient in severe renal failure receiving (a) remifentanil, (b) fentanyl, (c) propofol, (d) dexmedetomidine — for each, does the parent-drug PK change, and what (if anything) do you adjust?</w:t>
            </w:r>
          </w:p>
        </w:tc>
      </w:tr>
    </w:tbl>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2EFDA" w:val="clear"/>
            <w:tcMar>
              <w:top w:type="dxa" w:w="80"/>
              <w:left w:type="dxa" w:w="140"/>
              <w:bottom w:type="dxa" w:w="80"/>
              <w:right w:type="dxa" w:w="140"/>
            </w:tcMar>
          </w:tcPr>
          <w:p>
            <w:pPr>
              <w:spacing w:after="60" w:before="60"/>
            </w:pPr>
            <w:r>
              <w:rPr>
                <w:sz w:val="22"/>
                <w:szCs w:val="22"/>
              </w:rPr>
              <w:t xml:space="preserve">(a) Remifentanil: parent unchanged; GR90291 accumulates but ~1/4600 potency — no adjustment.  </w:t>
            </w:r>
          </w:p>
          <w:p>
            <w:pPr>
              <w:spacing w:after="60" w:before="60"/>
            </w:pPr>
            <w:r>
              <w:rPr>
                <w:sz w:val="22"/>
                <w:szCs w:val="22"/>
              </w:rPr>
              <w:t xml:space="preserve">(b) Fentanyl: unchanged; titrate normally.  </w:t>
            </w:r>
          </w:p>
          <w:p>
            <w:pPr>
              <w:spacing w:after="60" w:before="60"/>
            </w:pPr>
            <w:r>
              <w:rPr>
                <w:sz w:val="22"/>
                <w:szCs w:val="22"/>
              </w:rPr>
              <w:t xml:space="preserve">(c) Propofol: unchanged; no adjustment.  </w:t>
            </w:r>
          </w:p>
          <w:p>
            <w:pPr>
              <w:spacing w:after="60" w:before="60"/>
            </w:pPr>
            <w:r>
              <w:rPr>
                <w:sz w:val="22"/>
                <w:szCs w:val="22"/>
              </w:rPr>
              <w:t xml:space="preserve">(d) Dexmedetomidine: PK unchanged but sedation prolonged (protein binding) — reduce the maintenance dose.  </w:t>
            </w:r>
          </w:p>
          <w:p>
            <w:pPr>
              <w:spacing w:after="60" w:before="60"/>
            </w:pPr>
            <w:r>
              <w:rPr>
                <w:sz w:val="22"/>
                <w:szCs w:val="22"/>
              </w:rPr>
              <w:t xml:space="preserve">The lesson: renal failure changes almost none of these drugs’ parent PK; the adjustments are pharmacodynamic (dex) or about inactive metabolites (remi).</w:t>
            </w:r>
          </w:p>
        </w:tc>
      </w:tr>
    </w:tbl>
    <w:p>
      <w:pPr>
        <w:spacing w:after="40" w:before="140"/>
      </w:pPr>
      <w:r>
        <w:rPr>
          <w:b/>
          <w:bCs/>
          <w:color w:val="2E75B6"/>
          <w:sz w:val="24"/>
          <w:szCs w:val="24"/>
        </w:rPr>
        <w:t xml:space="preserve">References</w:t>
      </w:r>
    </w:p>
    <w:p>
      <w:pPr>
        <w:spacing w:after="60" w:before="60"/>
      </w:pPr>
      <w:r>
        <w:rPr>
          <w:sz w:val="22"/>
          <w:szCs w:val="22"/>
        </w:rPr>
        <w:t xml:space="preserve">Hoke JF, Shlugman D, Dershwitz M, et al. Pharmacokinetics and pharmacodynamics of remifentanil in persons with renal failure compared with healthy volunteers. Anesthesiology. 1997;87:533-541. Kan RE, Hughes SC, Rosen MA, et al. Intravenous remifentanil: placental transfer, maternal and neonatal effects. Anesthesiology. 1998;88:1467-1474. Wolf J, et al. Pharmacokinetics of dexmedetomidine in volunteers with severe renal impairment. Anesth Analg. 2001. Weerink MAS, Struys MMRF, Hannivoort LN, et al. Clinical pharmacokinetics and pharmacodynamics of dexmedetomidine. Clin Pharmacokinet. 2017;56:893-913.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E4E79"/>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2026-06-14T00:26:17.013Z</dcterms:created>
  <dcterms:modified xsi:type="dcterms:W3CDTF">2026-06-14T00:26:17.030Z</dcterms:modified>
</cp:coreProperties>
</file>

<file path=docProps/custom.xml><?xml version="1.0" encoding="utf-8"?>
<Properties xmlns="http://schemas.openxmlformats.org/officeDocument/2006/custom-properties" xmlns:vt="http://schemas.openxmlformats.org/officeDocument/2006/docPropsVTypes"/>
</file>