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2026年7月22日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2026年7月22日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Dify 低代码平台的部署与应用集成。</w:t>
        <w:br/>
        <w:br/>
        <w:t>上午在 Docker 环境中拉取 Dify 官方镜像并完成部署：配置 docker-compose.yml（包含 Dify API Server/Worker/Web/PostgreSQL/Redis 共 5 个服务），启动后在 Web 界面完成了大模型 API Key 配置（接入 DeepSeek 和通义千问两个模型供应商）。</w:t>
        <w:br/>
        <w:br/>
        <w:t>搭建 Dify 知识库：上传项目文档（PDF/Word/TXT 多种格式），设置分段规则（自动检测段落边界 + 最大 1000 tokens/段），选择 Embedding 模型并构建索引。进行了多轮真实召回测试——输入与文档相关的问题，验证能否正确召回对应的原文段落，并对分段策略做了调优。</w:t>
        <w:br/>
        <w:br/>
        <w:t>编排智能客服工作流：问题分类节点（LLM 判断意图）→ 知识库检索节点（条件路由：有命中→走 LLM 总结，无命中→走安全转交）→ LLM 回复节点 → TTS 文字转语音节点（支持语音播报）→ 文生图节点（可选）。工作流发布后通过 Dify API 在项目中实际调用验证。</w:t>
        <w:br/>
        <w:br/>
        <w:t>关键架构决策：FastAPI 不直接持有 Dify 密钥，而是通过统一网关层转发请求，前端完全不接触第三方密钥。当 Dify 服务不可用时自动降级到本地 RAG/Agent。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Dify 这类低代码平台的价值在于「降低 AI 应用落地门槛」——拖拽式编排、可视化调试、开箱即用的日志与版本管理，让非算法背景的开发者也能快速搭建可用的 AI 工作流。但它与 LangGraph 并非替代关系：Dify 适合标准化流程（如 FAQ 机器人），而 LangGraph 适合需要精细控制的复杂编排（如多步推理、动态路由）。两者互补使用效果最好。</w:t>
        <w:br/>
        <w:br/>
        <w:t>统一网关层的设计让我意识到「安全解耦」的重要性——密钥集中管理、服务隔离、失败自动降级，这些在生产环境中缺一不可。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