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C0064"/>
    <w:p w14:paraId="30F18C58">
      <w:r>
        <w:t xml:space="preserve">Component dimension tolerance </w:t>
      </w:r>
      <w:r>
        <w:rPr>
          <w:b/>
        </w:rPr>
        <w:t>T</w:t>
      </w:r>
      <w:r>
        <w:t xml:space="preserve"> and method of manufacturing:</w:t>
      </w:r>
    </w:p>
    <w:p w14:paraId="55726B0A"/>
    <w:tbl>
      <w:tblPr>
        <w:tblStyle w:val="2"/>
        <w:tblW w:w="137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643"/>
        <w:gridCol w:w="1007"/>
        <w:gridCol w:w="1476"/>
        <w:gridCol w:w="1643"/>
        <w:gridCol w:w="1016"/>
        <w:gridCol w:w="1096"/>
        <w:gridCol w:w="1083"/>
        <w:gridCol w:w="1016"/>
        <w:gridCol w:w="1096"/>
        <w:gridCol w:w="1083"/>
        <w:gridCol w:w="1016"/>
      </w:tblGrid>
      <w:tr w14:paraId="15A52BBB">
        <w:trPr>
          <w:cantSplit/>
          <w:jc w:val="center"/>
        </w:trPr>
        <w:tc>
          <w:tcPr>
            <w:tcW w:w="1616" w:type="dxa"/>
            <w:shd w:val="clear" w:color="auto" w:fill="auto"/>
            <w:noWrap/>
            <w:vAlign w:val="center"/>
          </w:tcPr>
          <w:p w14:paraId="2B1CEFAF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Part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610D806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Dim</w:t>
            </w:r>
          </w:p>
          <w:p w14:paraId="1CBBD4D3">
            <w:pPr>
              <w:jc w:val="center"/>
              <w:rPr>
                <w:rFonts w:hint="default" w:ascii="Times New Roman Regular" w:hAnsi="Times New Roman Regular" w:cs="Times New Roman Regular"/>
                <w:b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000000"/>
              </w:rPr>
              <w:t>x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91C19A4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Basic</w:t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t>size</w:t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b/>
                <w:color w:val="000000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000000"/>
                <w:vertAlign w:val="subscript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t xml:space="preserve"> (mm)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B9D67C8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Initial design</w:t>
            </w:r>
          </w:p>
          <w:p w14:paraId="1714EA69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Tolerance</w:t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b/>
                <w:color w:val="000000"/>
              </w:rPr>
              <w:t>T</w:t>
            </w:r>
            <w:r>
              <w:rPr>
                <w:rFonts w:hint="default" w:ascii="Times New Roman Regular" w:hAnsi="Times New Roman Regular" w:cs="Times New Roman Regular"/>
                <w:color w:val="000000"/>
                <w:vertAlign w:val="subscript"/>
              </w:rPr>
              <w:t>0</w:t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t xml:space="preserve"> (mm)</w:t>
            </w:r>
          </w:p>
        </w:tc>
        <w:tc>
          <w:tcPr>
            <w:tcW w:w="0" w:type="auto"/>
            <w:vAlign w:val="center"/>
          </w:tcPr>
          <w:p w14:paraId="370AF66A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Manufacturing Process</w:t>
            </w:r>
          </w:p>
        </w:tc>
        <w:tc>
          <w:tcPr>
            <w:tcW w:w="0" w:type="auto"/>
            <w:vAlign w:val="center"/>
          </w:tcPr>
          <w:p w14:paraId="3C3773D1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Relative Cost</w:t>
            </w:r>
          </w:p>
          <w:p w14:paraId="798D7179">
            <w:pPr>
              <w:jc w:val="center"/>
              <w:rPr>
                <w:rFonts w:hint="default" w:ascii="Times New Roman Regular" w:hAnsi="Times New Roman Regular" w:cs="Times New Roman Regular"/>
                <w:i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c</w:t>
            </w:r>
          </w:p>
        </w:tc>
        <w:tc>
          <w:tcPr>
            <w:tcW w:w="0" w:type="auto"/>
            <w:vAlign w:val="center"/>
          </w:tcPr>
          <w:p w14:paraId="09702F43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 xml:space="preserve">New tolerance design </w:t>
            </w:r>
            <w:r>
              <w:rPr>
                <w:rFonts w:hint="default" w:ascii="Times New Roman Regular" w:hAnsi="Times New Roman Regular" w:cs="Times New Roman Regular"/>
                <w:b/>
                <w:color w:val="000000"/>
              </w:rPr>
              <w:t>T</w:t>
            </w:r>
            <w:r>
              <w:rPr>
                <w:rFonts w:hint="default" w:ascii="Times New Roman Regular" w:hAnsi="Times New Roman Regular" w:cs="Times New Roman Regular"/>
                <w:color w:val="000000"/>
                <w:vertAlign w:val="subscript"/>
              </w:rPr>
              <w:t>(a)</w:t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t xml:space="preserve"> (mm)</w:t>
            </w:r>
          </w:p>
        </w:tc>
        <w:tc>
          <w:tcPr>
            <w:tcW w:w="0" w:type="auto"/>
            <w:vAlign w:val="center"/>
          </w:tcPr>
          <w:p w14:paraId="2B0F8B5B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Process</w:t>
            </w:r>
          </w:p>
        </w:tc>
        <w:tc>
          <w:tcPr>
            <w:tcW w:w="0" w:type="auto"/>
            <w:vAlign w:val="center"/>
          </w:tcPr>
          <w:p w14:paraId="394FF507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Relative Cost</w:t>
            </w:r>
          </w:p>
          <w:p w14:paraId="173D513E">
            <w:pPr>
              <w:jc w:val="center"/>
              <w:rPr>
                <w:rFonts w:hint="default" w:ascii="Times New Roman Regular" w:hAnsi="Times New Roman Regular" w:cs="Times New Roman Regular"/>
                <w:i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c</w:t>
            </w:r>
          </w:p>
        </w:tc>
        <w:tc>
          <w:tcPr>
            <w:tcW w:w="0" w:type="auto"/>
            <w:vAlign w:val="center"/>
          </w:tcPr>
          <w:p w14:paraId="7226C77A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 xml:space="preserve">New tolerance design </w:t>
            </w:r>
            <w:r>
              <w:rPr>
                <w:rFonts w:hint="default" w:ascii="Times New Roman Regular" w:hAnsi="Times New Roman Regular" w:cs="Times New Roman Regular"/>
                <w:b/>
                <w:color w:val="000000"/>
              </w:rPr>
              <w:t>T</w:t>
            </w:r>
            <w:r>
              <w:rPr>
                <w:rFonts w:hint="default" w:ascii="Times New Roman Regular" w:hAnsi="Times New Roman Regular" w:cs="Times New Roman Regular"/>
                <w:color w:val="000000"/>
                <w:vertAlign w:val="subscript"/>
              </w:rPr>
              <w:t>(b)</w:t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t xml:space="preserve"> (mm)</w:t>
            </w:r>
          </w:p>
        </w:tc>
        <w:tc>
          <w:tcPr>
            <w:tcW w:w="0" w:type="auto"/>
            <w:vAlign w:val="center"/>
          </w:tcPr>
          <w:p w14:paraId="2EB35CD4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Process</w:t>
            </w:r>
          </w:p>
        </w:tc>
        <w:tc>
          <w:tcPr>
            <w:tcW w:w="0" w:type="auto"/>
            <w:vAlign w:val="center"/>
          </w:tcPr>
          <w:p w14:paraId="4E9A6B03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Relative Cost</w:t>
            </w:r>
          </w:p>
          <w:p w14:paraId="71A4F001">
            <w:pPr>
              <w:jc w:val="center"/>
              <w:rPr>
                <w:rFonts w:hint="default" w:ascii="Times New Roman Regular" w:hAnsi="Times New Roman Regular" w:cs="Times New Roman Regular"/>
                <w:i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c</w:t>
            </w:r>
          </w:p>
        </w:tc>
      </w:tr>
      <w:tr w14:paraId="3274530F">
        <w:trPr>
          <w:cantSplit/>
          <w:jc w:val="center"/>
        </w:trPr>
        <w:tc>
          <w:tcPr>
            <w:tcW w:w="1616" w:type="dxa"/>
            <w:vMerge w:val="restart"/>
            <w:shd w:val="clear" w:color="auto" w:fill="auto"/>
            <w:noWrap/>
            <w:vAlign w:val="center"/>
          </w:tcPr>
          <w:p w14:paraId="6885100C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Cylinder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5C874B5">
            <w:pPr>
              <w:jc w:val="center"/>
              <w:rPr>
                <w:rFonts w:hint="default" w:ascii="Times New Roman Regular" w:hAnsi="Times New Roman Regular" w:eastAsia="宋体" w:cs="Times New Roman Regular"/>
                <w:i/>
                <w:color w:val="000000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x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vertAlign w:val="subscript"/>
                <w:lang w:val="en-US" w:eastAsia="zh-CN"/>
              </w:rPr>
              <w:t>1</w:t>
            </w:r>
          </w:p>
        </w:tc>
        <w:tc>
          <w:tcPr>
            <w:tcW w:w="1007" w:type="dxa"/>
            <w:shd w:val="clear" w:color="auto" w:fill="auto"/>
            <w:noWrap/>
            <w:vAlign w:val="top"/>
          </w:tcPr>
          <w:p w14:paraId="60436F31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100</w:t>
            </w:r>
          </w:p>
        </w:tc>
        <w:tc>
          <w:tcPr>
            <w:tcW w:w="1476" w:type="dxa"/>
            <w:shd w:val="clear" w:color="auto" w:fill="auto"/>
            <w:noWrap/>
            <w:vAlign w:val="top"/>
          </w:tcPr>
          <w:p w14:paraId="48B5FAAC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0.035</w:t>
            </w:r>
          </w:p>
        </w:tc>
        <w:tc>
          <w:tcPr>
            <w:tcW w:w="0" w:type="auto"/>
            <w:vAlign w:val="center"/>
          </w:tcPr>
          <w:p w14:paraId="497EF0C2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144F0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</w:t>
            </w:r>
          </w:p>
        </w:tc>
        <w:tc>
          <w:tcPr>
            <w:tcW w:w="1096" w:type="dxa"/>
            <w:vAlign w:val="center"/>
          </w:tcPr>
          <w:p w14:paraId="0D4E5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0.035</w:t>
            </w:r>
          </w:p>
        </w:tc>
        <w:tc>
          <w:tcPr>
            <w:tcW w:w="0" w:type="auto"/>
            <w:shd w:val="clear"/>
            <w:vAlign w:val="center"/>
          </w:tcPr>
          <w:p w14:paraId="380FF30A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152D2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</w:t>
            </w:r>
          </w:p>
        </w:tc>
        <w:tc>
          <w:tcPr>
            <w:tcW w:w="1096" w:type="dxa"/>
            <w:vAlign w:val="center"/>
          </w:tcPr>
          <w:p w14:paraId="79B48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0.022</w:t>
            </w:r>
          </w:p>
        </w:tc>
        <w:tc>
          <w:tcPr>
            <w:tcW w:w="0" w:type="auto"/>
            <w:vAlign w:val="center"/>
          </w:tcPr>
          <w:p w14:paraId="1455755D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311F4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32432DF2">
        <w:trPr>
          <w:cantSplit/>
          <w:jc w:val="center"/>
        </w:trPr>
        <w:tc>
          <w:tcPr>
            <w:tcW w:w="1616" w:type="dxa"/>
            <w:vMerge w:val="continue"/>
            <w:tcBorders/>
            <w:shd w:val="clear" w:color="auto" w:fill="auto"/>
            <w:noWrap/>
            <w:vAlign w:val="bottom"/>
          </w:tcPr>
          <w:p w14:paraId="5890CE12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54F932D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000000"/>
                <w:vertAlign w:val="subscript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24F5ACC6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220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0C7E8449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0.046</w:t>
            </w:r>
          </w:p>
        </w:tc>
        <w:tc>
          <w:tcPr>
            <w:tcW w:w="0" w:type="auto"/>
            <w:vAlign w:val="center"/>
          </w:tcPr>
          <w:p w14:paraId="21A4D8D1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11A37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96" w:type="dxa"/>
            <w:vAlign w:val="center"/>
          </w:tcPr>
          <w:p w14:paraId="44B0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0.029</w:t>
            </w:r>
          </w:p>
        </w:tc>
        <w:tc>
          <w:tcPr>
            <w:tcW w:w="0" w:type="auto"/>
            <w:shd w:val="clear"/>
            <w:vAlign w:val="center"/>
          </w:tcPr>
          <w:p w14:paraId="7485A4F0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1FDD3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  <w:tc>
          <w:tcPr>
            <w:tcW w:w="1096" w:type="dxa"/>
            <w:vAlign w:val="center"/>
          </w:tcPr>
          <w:p w14:paraId="0C02B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0.029</w:t>
            </w:r>
          </w:p>
        </w:tc>
        <w:tc>
          <w:tcPr>
            <w:tcW w:w="0" w:type="auto"/>
            <w:shd w:val="clear"/>
            <w:vAlign w:val="center"/>
          </w:tcPr>
          <w:p w14:paraId="51D8344D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2CBAB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</w:tr>
      <w:tr w14:paraId="7753FC43">
        <w:trPr>
          <w:cantSplit/>
          <w:jc w:val="center"/>
        </w:trPr>
        <w:tc>
          <w:tcPr>
            <w:tcW w:w="1616" w:type="dxa"/>
            <w:vMerge w:val="continue"/>
            <w:tcBorders/>
            <w:shd w:val="clear" w:color="auto" w:fill="auto"/>
            <w:noWrap/>
            <w:vAlign w:val="bottom"/>
          </w:tcPr>
          <w:p w14:paraId="74F22BB4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70DC9F9">
            <w:pPr>
              <w:jc w:val="center"/>
              <w:rPr>
                <w:rFonts w:hint="default" w:ascii="Times New Roman Regular" w:hAnsi="Times New Roman Regular" w:eastAsia="宋体" w:cs="Times New Roman Regular"/>
                <w:i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x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vertAlign w:val="subscript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4CC8AD5E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200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44A2BE09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0.046</w:t>
            </w:r>
          </w:p>
        </w:tc>
        <w:tc>
          <w:tcPr>
            <w:tcW w:w="0" w:type="auto"/>
            <w:vAlign w:val="center"/>
          </w:tcPr>
          <w:p w14:paraId="752DCF9D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2330D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96" w:type="dxa"/>
            <w:vAlign w:val="center"/>
          </w:tcPr>
          <w:p w14:paraId="68511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0.029</w:t>
            </w:r>
          </w:p>
        </w:tc>
        <w:tc>
          <w:tcPr>
            <w:tcW w:w="0" w:type="auto"/>
            <w:shd w:val="clear"/>
            <w:vAlign w:val="center"/>
          </w:tcPr>
          <w:p w14:paraId="21CAB077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4A853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  <w:tc>
          <w:tcPr>
            <w:tcW w:w="1096" w:type="dxa"/>
            <w:vAlign w:val="center"/>
          </w:tcPr>
          <w:p w14:paraId="4CAA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0.029</w:t>
            </w:r>
          </w:p>
        </w:tc>
        <w:tc>
          <w:tcPr>
            <w:tcW w:w="0" w:type="auto"/>
            <w:shd w:val="clear"/>
            <w:vAlign w:val="center"/>
          </w:tcPr>
          <w:p w14:paraId="13FE1EC7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shd w:val="clear"/>
            <w:vAlign w:val="center"/>
          </w:tcPr>
          <w:p w14:paraId="79622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</w:tr>
      <w:tr w14:paraId="179DBDE0">
        <w:trPr>
          <w:cantSplit/>
          <w:jc w:val="center"/>
        </w:trPr>
        <w:tc>
          <w:tcPr>
            <w:tcW w:w="1616" w:type="dxa"/>
            <w:vMerge w:val="continue"/>
            <w:tcBorders/>
            <w:shd w:val="clear" w:color="auto" w:fill="auto"/>
            <w:noWrap/>
            <w:vAlign w:val="center"/>
          </w:tcPr>
          <w:p w14:paraId="2688249C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FC9E5DB">
            <w:pPr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x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vertAlign w:val="subscript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08608CE7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300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14CD7610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0.052</w:t>
            </w:r>
          </w:p>
        </w:tc>
        <w:tc>
          <w:tcPr>
            <w:tcW w:w="0" w:type="auto"/>
            <w:vAlign w:val="center"/>
          </w:tcPr>
          <w:p w14:paraId="44587B9D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69E37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</w:t>
            </w:r>
          </w:p>
        </w:tc>
        <w:tc>
          <w:tcPr>
            <w:tcW w:w="1096" w:type="dxa"/>
            <w:vAlign w:val="center"/>
          </w:tcPr>
          <w:p w14:paraId="3FE9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0.052</w:t>
            </w:r>
          </w:p>
        </w:tc>
        <w:tc>
          <w:tcPr>
            <w:tcW w:w="0" w:type="auto"/>
            <w:shd w:val="clear"/>
            <w:vAlign w:val="center"/>
          </w:tcPr>
          <w:p w14:paraId="532FFEDE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09CE2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</w:t>
            </w:r>
          </w:p>
        </w:tc>
        <w:tc>
          <w:tcPr>
            <w:tcW w:w="1096" w:type="dxa"/>
            <w:vAlign w:val="center"/>
          </w:tcPr>
          <w:p w14:paraId="0F1CA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0.032</w:t>
            </w:r>
          </w:p>
        </w:tc>
        <w:tc>
          <w:tcPr>
            <w:tcW w:w="0" w:type="auto"/>
            <w:shd w:val="clear"/>
            <w:vAlign w:val="center"/>
          </w:tcPr>
          <w:p w14:paraId="0584E717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73D0F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</w:t>
            </w:r>
          </w:p>
        </w:tc>
      </w:tr>
      <w:tr w14:paraId="13396167">
        <w:trPr>
          <w:cantSplit/>
          <w:jc w:val="center"/>
        </w:trPr>
        <w:tc>
          <w:tcPr>
            <w:tcW w:w="1616" w:type="dxa"/>
            <w:vMerge w:val="continue"/>
            <w:tcBorders/>
            <w:shd w:val="clear" w:color="auto" w:fill="auto"/>
            <w:noWrap/>
            <w:vAlign w:val="center"/>
          </w:tcPr>
          <w:p w14:paraId="0FC73D0B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4B20FD2">
            <w:pPr>
              <w:jc w:val="center"/>
              <w:rPr>
                <w:rFonts w:hint="default" w:ascii="Times New Roman Regular" w:hAnsi="Times New Roman Regular" w:eastAsia="宋体" w:cs="Times New Roman Regular"/>
                <w:i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x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vertAlign w:val="subscript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0F8268F5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140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46D933EA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0.04</w:t>
            </w:r>
          </w:p>
        </w:tc>
        <w:tc>
          <w:tcPr>
            <w:tcW w:w="0" w:type="auto"/>
            <w:vAlign w:val="center"/>
          </w:tcPr>
          <w:p w14:paraId="01837196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4CFD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</w:t>
            </w:r>
          </w:p>
        </w:tc>
        <w:tc>
          <w:tcPr>
            <w:tcW w:w="1096" w:type="dxa"/>
            <w:vAlign w:val="center"/>
          </w:tcPr>
          <w:p w14:paraId="0B6A0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0.025</w:t>
            </w:r>
          </w:p>
        </w:tc>
        <w:tc>
          <w:tcPr>
            <w:tcW w:w="0" w:type="auto"/>
            <w:shd w:val="clear"/>
            <w:vAlign w:val="center"/>
          </w:tcPr>
          <w:p w14:paraId="6D28F749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72DD0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</w:t>
            </w:r>
          </w:p>
        </w:tc>
        <w:tc>
          <w:tcPr>
            <w:tcW w:w="1096" w:type="dxa"/>
            <w:vAlign w:val="center"/>
          </w:tcPr>
          <w:p w14:paraId="6A5B2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0.025</w:t>
            </w:r>
          </w:p>
        </w:tc>
        <w:tc>
          <w:tcPr>
            <w:tcW w:w="0" w:type="auto"/>
            <w:shd w:val="clear"/>
            <w:vAlign w:val="center"/>
          </w:tcPr>
          <w:p w14:paraId="1D4C8542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3B87F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</w:t>
            </w:r>
          </w:p>
        </w:tc>
      </w:tr>
      <w:tr w14:paraId="6A48655D">
        <w:trPr>
          <w:cantSplit/>
          <w:jc w:val="center"/>
        </w:trPr>
        <w:tc>
          <w:tcPr>
            <w:tcW w:w="1616" w:type="dxa"/>
            <w:vMerge w:val="continue"/>
            <w:tcBorders/>
            <w:shd w:val="clear" w:color="auto" w:fill="auto"/>
            <w:noWrap/>
            <w:vAlign w:val="center"/>
          </w:tcPr>
          <w:p w14:paraId="59D265F1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9B5F8AD">
            <w:pPr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x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vertAlign w:val="subscript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07B15D23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120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3D0DDEC7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0.035</w:t>
            </w:r>
          </w:p>
        </w:tc>
        <w:tc>
          <w:tcPr>
            <w:tcW w:w="0" w:type="auto"/>
            <w:vAlign w:val="center"/>
          </w:tcPr>
          <w:p w14:paraId="7F8C3A07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2608A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</w:t>
            </w:r>
          </w:p>
        </w:tc>
        <w:tc>
          <w:tcPr>
            <w:tcW w:w="1096" w:type="dxa"/>
            <w:vAlign w:val="center"/>
          </w:tcPr>
          <w:p w14:paraId="2DDFE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0.035</w:t>
            </w:r>
          </w:p>
        </w:tc>
        <w:tc>
          <w:tcPr>
            <w:tcW w:w="0" w:type="auto"/>
            <w:shd w:val="clear"/>
            <w:vAlign w:val="center"/>
          </w:tcPr>
          <w:p w14:paraId="7DCD202B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0967E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</w:t>
            </w:r>
          </w:p>
        </w:tc>
        <w:tc>
          <w:tcPr>
            <w:tcW w:w="1096" w:type="dxa"/>
            <w:vAlign w:val="center"/>
          </w:tcPr>
          <w:p w14:paraId="50AAB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0.022</w:t>
            </w:r>
          </w:p>
        </w:tc>
        <w:tc>
          <w:tcPr>
            <w:tcW w:w="0" w:type="auto"/>
            <w:shd w:val="clear"/>
            <w:vAlign w:val="center"/>
          </w:tcPr>
          <w:p w14:paraId="6CA81FB7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627A6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7AC3D8A6">
        <w:trPr>
          <w:cantSplit/>
          <w:jc w:val="center"/>
        </w:trPr>
        <w:tc>
          <w:tcPr>
            <w:tcW w:w="1616" w:type="dxa"/>
            <w:vMerge w:val="continue"/>
            <w:tcBorders/>
            <w:shd w:val="clear" w:color="auto" w:fill="auto"/>
            <w:noWrap/>
            <w:vAlign w:val="bottom"/>
          </w:tcPr>
          <w:p w14:paraId="3993A0A1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D8E6634">
            <w:pPr>
              <w:jc w:val="center"/>
              <w:rPr>
                <w:rFonts w:hint="default" w:ascii="Times New Roman Regular" w:hAnsi="Times New Roman Regular" w:eastAsia="宋体" w:cs="Times New Roman Regular"/>
                <w:i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x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vertAlign w:val="subscript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238C71DB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240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79D32AFB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0.046</w:t>
            </w:r>
          </w:p>
        </w:tc>
        <w:tc>
          <w:tcPr>
            <w:tcW w:w="0" w:type="auto"/>
            <w:vAlign w:val="center"/>
          </w:tcPr>
          <w:p w14:paraId="19558324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24893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96" w:type="dxa"/>
            <w:vAlign w:val="center"/>
          </w:tcPr>
          <w:p w14:paraId="694E2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0.029</w:t>
            </w:r>
          </w:p>
        </w:tc>
        <w:tc>
          <w:tcPr>
            <w:tcW w:w="0" w:type="auto"/>
            <w:shd w:val="clear"/>
            <w:vAlign w:val="center"/>
          </w:tcPr>
          <w:p w14:paraId="71A66FB3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10074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  <w:tc>
          <w:tcPr>
            <w:tcW w:w="1096" w:type="dxa"/>
            <w:vAlign w:val="center"/>
          </w:tcPr>
          <w:p w14:paraId="4D6FE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0.029</w:t>
            </w:r>
          </w:p>
        </w:tc>
        <w:tc>
          <w:tcPr>
            <w:tcW w:w="0" w:type="auto"/>
            <w:shd w:val="clear"/>
            <w:vAlign w:val="center"/>
          </w:tcPr>
          <w:p w14:paraId="73743842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3F8E6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</w:tr>
      <w:tr w14:paraId="4E5E0E90">
        <w:trPr>
          <w:cantSplit/>
          <w:jc w:val="center"/>
        </w:trPr>
        <w:tc>
          <w:tcPr>
            <w:tcW w:w="1616" w:type="dxa"/>
            <w:vMerge w:val="continue"/>
            <w:tcBorders/>
            <w:shd w:val="clear" w:color="auto" w:fill="auto"/>
            <w:noWrap/>
            <w:vAlign w:val="center"/>
          </w:tcPr>
          <w:p w14:paraId="40DB856E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A0920AE">
            <w:pPr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x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vertAlign w:val="subscript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32F1BAA8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220</w:t>
            </w:r>
          </w:p>
        </w:tc>
        <w:tc>
          <w:tcPr>
            <w:tcW w:w="0" w:type="auto"/>
            <w:shd w:val="clear" w:color="auto" w:fill="auto"/>
            <w:noWrap/>
            <w:vAlign w:val="top"/>
          </w:tcPr>
          <w:p w14:paraId="5FE64C02">
            <w:pPr>
              <w:jc w:val="center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 w:bidi="th-TH"/>
              </w:rPr>
              <w:t>0.046</w:t>
            </w:r>
          </w:p>
        </w:tc>
        <w:tc>
          <w:tcPr>
            <w:tcW w:w="0" w:type="auto"/>
            <w:vAlign w:val="center"/>
          </w:tcPr>
          <w:p w14:paraId="54FCADCB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Turning</w:t>
            </w:r>
          </w:p>
        </w:tc>
        <w:tc>
          <w:tcPr>
            <w:tcW w:w="1016" w:type="dxa"/>
            <w:vAlign w:val="center"/>
          </w:tcPr>
          <w:p w14:paraId="6B954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96" w:type="dxa"/>
            <w:vAlign w:val="center"/>
          </w:tcPr>
          <w:p w14:paraId="13D23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0.029</w:t>
            </w:r>
          </w:p>
        </w:tc>
        <w:tc>
          <w:tcPr>
            <w:tcW w:w="0" w:type="auto"/>
            <w:shd w:val="clear"/>
            <w:vAlign w:val="center"/>
          </w:tcPr>
          <w:p w14:paraId="1F386B0D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23AAC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  <w:tc>
          <w:tcPr>
            <w:tcW w:w="1096" w:type="dxa"/>
            <w:vAlign w:val="center"/>
          </w:tcPr>
          <w:p w14:paraId="09E4A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0.029</w:t>
            </w:r>
          </w:p>
        </w:tc>
        <w:tc>
          <w:tcPr>
            <w:tcW w:w="0" w:type="auto"/>
            <w:shd w:val="clear"/>
            <w:vAlign w:val="center"/>
          </w:tcPr>
          <w:p w14:paraId="47081D6C">
            <w:pPr>
              <w:jc w:val="center"/>
              <w:rPr>
                <w:rFonts w:hint="default" w:ascii="Times New Roman Regular" w:hAnsi="Times New Roman Regular" w:eastAsia="Times New Roman" w:cs="Times New Roman Regular"/>
                <w:color w:val="000000"/>
                <w:sz w:val="24"/>
                <w:szCs w:val="24"/>
                <w:lang w:val="zh-CN" w:eastAsia="zh-TW" w:bidi="ar-SA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>Grinding</w:t>
            </w:r>
          </w:p>
        </w:tc>
        <w:tc>
          <w:tcPr>
            <w:tcW w:w="1016" w:type="dxa"/>
            <w:vAlign w:val="center"/>
          </w:tcPr>
          <w:p w14:paraId="27EE0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</w:t>
            </w:r>
          </w:p>
        </w:tc>
      </w:tr>
      <w:tr w14:paraId="77A0B6AE">
        <w:trPr>
          <w:cantSplit/>
          <w:jc w:val="center"/>
        </w:trPr>
        <w:tc>
          <w:tcPr>
            <w:tcW w:w="1616" w:type="dxa"/>
            <w:shd w:val="clear" w:color="auto" w:fill="auto"/>
            <w:noWrap/>
            <w:vAlign w:val="bottom"/>
          </w:tcPr>
          <w:p w14:paraId="0555C1EA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</w:rPr>
              <w:t xml:space="preserve">Total </w:t>
            </w:r>
            <w:r>
              <w:rPr>
                <w:rFonts w:hint="default" w:ascii="Times New Roman Regular" w:hAnsi="Times New Roman Regular" w:cs="Times New Roman Regular"/>
              </w:rPr>
              <w:t>manufacturing</w:t>
            </w:r>
            <w:r>
              <w:rPr>
                <w:rFonts w:hint="default" w:ascii="Times New Roman Regular" w:hAnsi="Times New Roman Regular" w:cs="Times New Roman Regular"/>
                <w:color w:val="000000"/>
              </w:rPr>
              <w:t xml:space="preserve"> cost</w:t>
            </w:r>
          </w:p>
          <w:p w14:paraId="428C3DD6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i/>
                <w:color w:val="000000"/>
              </w:rPr>
              <w:t>c</w:t>
            </w:r>
            <w:r>
              <w:rPr>
                <w:rFonts w:hint="default" w:ascii="Times New Roman Regular" w:hAnsi="Times New Roman Regular" w:cs="Times New Roman Regular"/>
                <w:color w:val="000000"/>
                <w:vertAlign w:val="subscript"/>
              </w:rPr>
              <w:t>m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41C809">
            <w:pPr>
              <w:jc w:val="center"/>
              <w:rPr>
                <w:rFonts w:hint="default" w:ascii="Times New Roman Regular" w:hAnsi="Times New Roman Regular" w:cs="Times New Roman Regular"/>
                <w:i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2E1D684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804B404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  <w:u w:val="single"/>
              </w:rPr>
            </w:pPr>
          </w:p>
        </w:tc>
        <w:tc>
          <w:tcPr>
            <w:tcW w:w="0" w:type="auto"/>
            <w:vAlign w:val="center"/>
          </w:tcPr>
          <w:p w14:paraId="4810F4F3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1016" w:type="dxa"/>
            <w:vAlign w:val="center"/>
          </w:tcPr>
          <w:p w14:paraId="1BE96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32.1</w:t>
            </w:r>
          </w:p>
        </w:tc>
        <w:tc>
          <w:tcPr>
            <w:tcW w:w="0" w:type="auto"/>
            <w:vAlign w:val="center"/>
          </w:tcPr>
          <w:p w14:paraId="10C2C5E1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  <w:u w:val="single"/>
              </w:rPr>
            </w:pPr>
          </w:p>
        </w:tc>
        <w:tc>
          <w:tcPr>
            <w:tcW w:w="0" w:type="auto"/>
            <w:vAlign w:val="center"/>
          </w:tcPr>
          <w:p w14:paraId="58C700D3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1016" w:type="dxa"/>
            <w:vAlign w:val="center"/>
          </w:tcPr>
          <w:p w14:paraId="32EE9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34.4</w:t>
            </w:r>
          </w:p>
        </w:tc>
        <w:tc>
          <w:tcPr>
            <w:tcW w:w="0" w:type="auto"/>
            <w:vAlign w:val="center"/>
          </w:tcPr>
          <w:p w14:paraId="6D87B815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  <w:u w:val="single"/>
              </w:rPr>
            </w:pPr>
          </w:p>
        </w:tc>
        <w:tc>
          <w:tcPr>
            <w:tcW w:w="0" w:type="auto"/>
            <w:vAlign w:val="center"/>
          </w:tcPr>
          <w:p w14:paraId="59CBF85E">
            <w:pPr>
              <w:jc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</w:p>
        </w:tc>
        <w:tc>
          <w:tcPr>
            <w:tcW w:w="1016" w:type="dxa"/>
            <w:vAlign w:val="center"/>
          </w:tcPr>
          <w:p w14:paraId="44188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cs="Times New Roman Regular"/>
                <w:color w:val="000000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36.5</w:t>
            </w:r>
          </w:p>
        </w:tc>
      </w:tr>
    </w:tbl>
    <w:p w14:paraId="43E115AE"/>
    <w:p w14:paraId="3DCB6823">
      <w:bookmarkStart w:id="0" w:name="_GoBack"/>
      <w:bookmarkEnd w:id="0"/>
    </w:p>
    <w:sectPr>
      <w:pgSz w:w="16839" w:h="11907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 Regular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9F"/>
    <w:rsid w:val="0004406E"/>
    <w:rsid w:val="002E2E9F"/>
    <w:rsid w:val="003F0C0E"/>
    <w:rsid w:val="00427AB4"/>
    <w:rsid w:val="0049221C"/>
    <w:rsid w:val="005F1A97"/>
    <w:rsid w:val="00617BEF"/>
    <w:rsid w:val="00644490"/>
    <w:rsid w:val="008A5E63"/>
    <w:rsid w:val="009A15F7"/>
    <w:rsid w:val="00B05A56"/>
    <w:rsid w:val="00CC2AB1"/>
    <w:rsid w:val="00CE11B7"/>
    <w:rsid w:val="00CE4A72"/>
    <w:rsid w:val="00D01A2C"/>
    <w:rsid w:val="00F07DCC"/>
    <w:rsid w:val="2C955256"/>
    <w:rsid w:val="DFBE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zh-CN" w:eastAsia="zh-TW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rPr>
      <w:kern w:val="2"/>
      <w:sz w:val="21"/>
      <w:szCs w:val="28"/>
      <w:lang w:bidi="th-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317</Characters>
  <Lines>3</Lines>
  <Paragraphs>1</Paragraphs>
  <TotalTime>12</TotalTime>
  <ScaleCrop>false</ScaleCrop>
  <LinksUpToDate>false</LinksUpToDate>
  <CharactersWithSpaces>341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2019-01-07T15:05:00Z</dcterms:created>
  <dc:creator>USTHK Dr Gao</dc:creator>
  <cp:lastModifiedBy>董振晨</cp:lastModifiedBy>
  <dcterms:modified xsi:type="dcterms:W3CDTF">2025-12-15T23:09:25Z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eyJoZGlkIjoiOTJhMjZmYjgzMDMxMjE3ZGJhZDcyOWVlNTZjYWVkYjIiLCJ1c2VySWQiOiIzOTYzNzQyMTgifQ==</vt:lpwstr>
  </property>
  <property fmtid="{D5CDD505-2E9C-101B-9397-08002B2CF9AE}" pid="3" name="KSOProductBuildVer">
    <vt:lpwstr>2052-7.5.1.8994</vt:lpwstr>
  </property>
  <property fmtid="{D5CDD505-2E9C-101B-9397-08002B2CF9AE}" pid="4" name="ICV">
    <vt:lpwstr>E73E109F8AE1476698C684E3968E2A4C_12</vt:lpwstr>
  </property>
</Properties>
</file>