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8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0D1526"/>
          <w:sz w:val="96"/>
          <w:szCs w:val="96"/>
        </w:rPr>
        <w:t xml:space="preserve">SkiDesk</w:t>
      </w:r>
    </w:p>
    <w:p>
      <w:pPr>
        <w:spacing w:after="240"/>
        <w:jc w:val="center"/>
      </w:pPr>
      <w:r>
        <w:rPr>
          <w:rFonts w:ascii="Arial" w:cs="Arial" w:eastAsia="Arial" w:hAnsi="Arial"/>
          <w:color w:val="2563EB"/>
          <w:sz w:val="48"/>
          <w:szCs w:val="48"/>
        </w:rPr>
        <w:t xml:space="preserve">Brand Guidelines</w:t>
      </w:r>
    </w:p>
    <w:p>
      <w:pPr>
        <w:pBdr>
          <w:bottom w:val="single" w:color="2563EB" w:sz="6" w:space="1"/>
        </w:pBdr>
        <w:spacing w:after="240"/>
        <w:jc w:val="center"/>
      </w:pPr>
    </w:p>
    <w:p>
      <w:pPr>
        <w:spacing w:after="80"/>
        <w:jc w:val="center"/>
      </w:pPr>
      <w:r>
        <w:rPr>
          <w:rFonts w:ascii="Arial" w:cs="Arial" w:eastAsia="Arial" w:hAnsi="Arial"/>
          <w:color w:val="6B748F"/>
          <w:sz w:val="28"/>
          <w:szCs w:val="28"/>
        </w:rPr>
        <w:t xml:space="preserve">Ski School Management Software</w:t>
      </w:r>
    </w:p>
    <w:p>
      <w:pPr>
        <w:jc w:val="center"/>
      </w:pPr>
      <w:r>
        <w:rPr>
          <w:rFonts w:ascii="Arial" w:cs="Arial" w:eastAsia="Arial" w:hAnsi="Arial"/>
          <w:color w:val="9BA3B8"/>
          <w:sz w:val="22"/>
          <w:szCs w:val="22"/>
        </w:rPr>
        <w:t xml:space="preserve">Version 1.0  —  2026</w:t>
      </w:r>
    </w:p>
    <w:p>
      <w:pPr>
        <w:spacing w:after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9BA3B8"/>
          <w:spacing w:val="120"/>
          <w:sz w:val="18"/>
          <w:szCs w:val="18"/>
        </w:rPr>
        <w:t xml:space="preserve">CONFIDENTIAL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1. Brand Identity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SkiDesk is a professional ski school management platform. Every visual and verbal decision should reinforce its core promise: clarity, efficiency, and a premium yet approachable experience for ski school operators worldwide.</w:t>
      </w:r>
    </w:p>
    <w:p>
      <w:pPr>
        <w:spacing w:after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1.1 Brand Name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The brand name is SkiDesk — written as one word, camel-cased. Never write "Ski Desk", "ski desk", or "SKIDESK".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18"/>
                <w:szCs w:val="18"/>
              </w:rPr>
              <w:t xml:space="preserve">✔  Correct</w:t>
            </w:r>
          </w:p>
          <w:p>
            <w:r>
              <w:rPr>
                <w:rFonts w:ascii="Arial" w:cs="Arial" w:eastAsia="Arial" w:hAnsi="Arial"/>
                <w:b/>
                <w:bCs/>
                <w:color w:val="0D1526"/>
                <w:sz w:val="24"/>
                <w:szCs w:val="24"/>
              </w:rPr>
              <w:t xml:space="preserve">SkiDesk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✘  Incorrect</w:t>
            </w:r>
          </w:p>
          <w:p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Ski Desk  /  ski desk  /  SKIDESK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1.2 Tagline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"Ski School Management Software" — used below the logo on marketing materials and in meta descriptions. Concise, descriptive, benefit-neutral.</w:t>
      </w:r>
    </w:p>
    <w:p>
      <w:pPr>
        <w:spacing w:after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1.3 Logo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LOGOMARK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A 28×28 px rounded square with a 7 px border-radius. Filled with the brand gradient (135°, #2563EB → #7C3AED). Contains a white mountain/ski icon centered within.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WORDMARK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"SkiDesk" set in Plus Jakarta Sans, weight 800, letter-spacing −0.03em, color #0D1526 on light backgrounds.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FULL LOGO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Logomark + wordmark arranged side by side with a 9 px gap. The logomark vertically centers with the cap-height of the wordmark.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CLEAR SPACE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Maintain clear space equal to the height of the logomark (28 px) on all four sides of the full logo.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MINIMUM SIZE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The full logo should not be displayed smaller than 80 px wide. The logomark alone should not be displayed smaller than 20 px.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DARK BACKGROUND USAGE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On dark backgrounds (#0D1526), the wordmark text should be white (#FFFFFF). The logomark gradient remains unchanged.</w:t>
      </w:r>
    </w:p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1.4 Voice &amp; Tone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SkiDesk communicates with confidence and clarity. The brand voice is: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Professional but approachable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Speaks to operators with respect for their expertise without being stiff or corporate.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Technical precision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Accurate and specific — never vague. Avoids jargon that only engineers understand.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Confident, not arrogant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States the value clearly without over-claiming or dismissing competitors.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Benefit-first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Always leads with what the user gains. e.g. "Run your ski school, not your inbox."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2. Typography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SkiDesk uses two typefaces from Google Fonts. Together they balance warmth and technical precision.</w:t>
      </w:r>
    </w:p>
    <w:p>
      <w:pPr>
        <w:spacing w:after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2.1 Primary Typeface — Plus Jakarta Sans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USAGE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All UI text: headings, body copy, navigation links, buttons, labels, form fields, and marketing copy.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CSS</w:t>
      </w:r>
    </w:p>
    <w:p>
      <w:pPr>
        <w:shd w:fill="F7F9FC" w:val="clear"/>
        <w:spacing w:after="80"/>
      </w:pPr>
      <w:r>
        <w:rPr>
          <w:rFonts w:ascii="Courier New" w:cs="Courier New" w:eastAsia="Courier New" w:hAnsi="Courier New"/>
          <w:color w:val="374162"/>
          <w:sz w:val="20"/>
          <w:szCs w:val="20"/>
        </w:rPr>
        <w:t xml:space="preserve">font-family: 'Plus Jakarta Sans', sans-serif;</w:t>
      </w:r>
    </w:p>
    <w:p>
      <w:pPr>
        <w:shd w:fill="F7F9FC" w:val="clear"/>
        <w:spacing w:after="80"/>
      </w:pPr>
      <w:r>
        <w:rPr>
          <w:rFonts w:ascii="Courier New" w:cs="Courier New" w:eastAsia="Courier New" w:hAnsi="Courier New"/>
          <w:color w:val="374162"/>
          <w:sz w:val="20"/>
          <w:szCs w:val="20"/>
        </w:rPr>
        <w:t xml:space="preserve">@import url('https://fonts.googleapis.com/css2?family=Plus+Jakarta+Sans:ital,wght@0,300;0,400;0,500;0,600;0,700;0,800;1,400&amp;display=swap');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Number</w:t>
            </w:r>
          </w:p>
        </w:tc>
        <w:tc>
          <w:tcPr>
            <w:tcW w:type="dxa" w:w="4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Primary Use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Light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300</w:t>
            </w:r>
          </w:p>
        </w:tc>
        <w:tc>
          <w:tcPr>
            <w:tcW w:type="dxa" w:w="4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Rarely used; delicate subtext only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Regular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400</w:t>
            </w:r>
          </w:p>
        </w:tc>
        <w:tc>
          <w:tcPr>
            <w:tcW w:type="dxa" w:w="4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Body copy, descriptions, captions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Medium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500</w:t>
            </w:r>
          </w:p>
        </w:tc>
        <w:tc>
          <w:tcPr>
            <w:tcW w:type="dxa" w:w="4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Navigation links, secondary labels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SemiBold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600</w:t>
            </w:r>
          </w:p>
        </w:tc>
        <w:tc>
          <w:tcPr>
            <w:tcW w:type="dxa" w:w="4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Buttons, strong labels, active states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Bold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700</w:t>
            </w:r>
          </w:p>
        </w:tc>
        <w:tc>
          <w:tcPr>
            <w:tcW w:type="dxa" w:w="4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Kicker labels, section identifiers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ExtraBold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800</w:t>
            </w:r>
          </w:p>
        </w:tc>
        <w:tc>
          <w:tcPr>
            <w:tcW w:type="dxa" w:w="4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All headings (H1–H3), card titles, stat numbers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2.2 Monospace Typeface — JetBrains Mono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USAGE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Time values, order IDs, code snippets, URL bars, technical labels, and data values where tabular alignment matters.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CSS</w:t>
      </w:r>
    </w:p>
    <w:p>
      <w:pPr>
        <w:shd w:fill="F7F9FC" w:val="clear"/>
        <w:spacing w:after="80"/>
      </w:pPr>
      <w:r>
        <w:rPr>
          <w:rFonts w:ascii="Courier New" w:cs="Courier New" w:eastAsia="Courier New" w:hAnsi="Courier New"/>
          <w:color w:val="374162"/>
          <w:sz w:val="20"/>
          <w:szCs w:val="20"/>
        </w:rPr>
        <w:t xml:space="preserve">font-family: 'JetBrains Mono', monospace;</w:t>
      </w:r>
    </w:p>
    <w:p>
      <w:pPr>
        <w:shd w:fill="F7F9FC" w:val="clear"/>
        <w:spacing w:after="80"/>
      </w:pPr>
      <w:r>
        <w:rPr>
          <w:rFonts w:ascii="Courier New" w:cs="Courier New" w:eastAsia="Courier New" w:hAnsi="Courier New"/>
          <w:color w:val="374162"/>
          <w:sz w:val="20"/>
          <w:szCs w:val="20"/>
        </w:rPr>
        <w:t xml:space="preserve">@import url('https://fonts.googleapis.com/css2?family=JetBrains+Mono:wght@400;500&amp;display=swap');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Number</w:t>
            </w:r>
          </w:p>
        </w:tc>
        <w:tc>
          <w:tcPr>
            <w:tcW w:type="dxa" w:w="4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Primary Use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Regular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400</w:t>
            </w:r>
          </w:p>
        </w:tc>
        <w:tc>
          <w:tcPr>
            <w:tcW w:type="dxa" w:w="4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Time labels, IDs, URL bars, inline code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Medium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500</w:t>
            </w:r>
          </w:p>
        </w:tc>
        <w:tc>
          <w:tcPr>
            <w:tcW w:type="dxa" w:w="4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Code titles, monospace kicker labels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2.3 Type Scale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The following scale governs all typographic decisions across the product and marketing site.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000"/>
        <w:gridCol w:w="1680"/>
        <w:gridCol w:w="148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Style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Letter Spacing</w:t>
            </w:r>
          </w:p>
        </w:tc>
        <w:tc>
          <w:tcPr>
            <w:tcW w:type="dxa" w:w="1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 Height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Hero / Display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clamp(44–66px)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800 ExtraBold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-0.04em</w:t>
            </w:r>
          </w:p>
        </w:tc>
        <w:tc>
          <w:tcPr>
            <w:tcW w:type="dxa" w:w="1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1.06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H2 Section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clamp(32–50px)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800 ExtraBold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-0.03em</w:t>
            </w:r>
          </w:p>
        </w:tc>
        <w:tc>
          <w:tcPr>
            <w:tcW w:type="dxa" w:w="1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1.1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H3 Feature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30px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800 ExtraBold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-0.03em</w:t>
            </w:r>
          </w:p>
        </w:tc>
        <w:tc>
          <w:tcPr>
            <w:tcW w:type="dxa" w:w="1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1.2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Card Title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24px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800 ExtraBold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-0.02em</w:t>
            </w:r>
          </w:p>
        </w:tc>
        <w:tc>
          <w:tcPr>
            <w:tcW w:type="dxa" w:w="1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1.2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Body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17px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400 Regular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normal</w:t>
            </w:r>
          </w:p>
        </w:tc>
        <w:tc>
          <w:tcPr>
            <w:tcW w:type="dxa" w:w="1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1.75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Small Body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14–13px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400 Regular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normal</w:t>
            </w:r>
          </w:p>
        </w:tc>
        <w:tc>
          <w:tcPr>
            <w:tcW w:type="dxa" w:w="1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Label / Kicker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12px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700 Bold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0.08em</w:t>
            </w:r>
          </w:p>
        </w:tc>
        <w:tc>
          <w:tcPr>
            <w:tcW w:type="dxa" w:w="1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Micro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11–10px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600 SemiBold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normal</w:t>
            </w:r>
          </w:p>
        </w:tc>
        <w:tc>
          <w:tcPr>
            <w:tcW w:type="dxa" w:w="1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62"/>
                <w:sz w:val="18"/>
                <w:szCs w:val="18"/>
              </w:rPr>
              <w:t xml:space="preserve">1.4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2.4 Typography Specimens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HERO DISPLAY</w:t>
      </w:r>
    </w:p>
    <w:p>
      <w:pPr>
        <w:spacing w:after="0"/>
      </w:pPr>
      <w:r>
        <w:rPr>
          <w:rFonts w:ascii="Arial" w:cs="Arial" w:eastAsia="Arial" w:hAnsi="Arial"/>
          <w:b/>
          <w:bCs/>
          <w:color w:val="0D1526"/>
          <w:sz w:val="56"/>
          <w:szCs w:val="56"/>
        </w:rPr>
        <w:t xml:space="preserve">Run your ski school,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2563EB"/>
          <w:sz w:val="56"/>
          <w:szCs w:val="56"/>
        </w:rPr>
        <w:t xml:space="preserve">not your inbox.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H2 SECTION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0D1526"/>
          <w:sz w:val="44"/>
          <w:szCs w:val="44"/>
        </w:rPr>
        <w:t xml:space="preserve">Everything your ski school needs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H3 FEATURE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0D1526"/>
          <w:sz w:val="34"/>
          <w:szCs w:val="34"/>
        </w:rPr>
        <w:t xml:space="preserve">Smart Scheduling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BODY</w:t>
      </w:r>
    </w:p>
    <w:p>
      <w:pPr>
        <w:spacing w:after="200"/>
      </w:pPr>
      <w:r>
        <w:rPr>
          <w:rFonts w:ascii="Arial" w:cs="Arial" w:eastAsia="Arial" w:hAnsi="Arial"/>
          <w:color w:val="6B748F"/>
          <w:sz w:val="22"/>
          <w:szCs w:val="22"/>
        </w:rPr>
        <w:t xml:space="preserve">SkiDesk replaces whiteboards, spreadsheets, and disconnected apps with a single platform built for modern ski schools. From booking to payroll, everything is in one place.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LABEL / KICKER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SCHEDULING &amp; BOOKINGS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MONOSPACE</w:t>
      </w:r>
    </w:p>
    <w:p>
      <w:pPr>
        <w:spacing w:after="200"/>
      </w:pPr>
      <w:r>
        <w:rPr>
          <w:rFonts w:ascii="Courier New" w:cs="Courier New" w:eastAsia="Courier New" w:hAnsi="Courier New"/>
          <w:color w:val="374162"/>
          <w:sz w:val="20"/>
          <w:szCs w:val="20"/>
        </w:rPr>
        <w:t xml:space="preserve">09:00 — 11:30  ·  #BK-00147  ·  app.skidesk.com</w:t>
      </w:r>
    </w:p>
    <w:p>
      <w:pPr>
        <w:spacing w:after="24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3. Color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The SkiDesk palette is built around a confident primary blue and a supporting violet accent. The ink scale provides a full range of neutral text tones, and the background scale creates visual depth without heavy shadows.</w:t>
      </w:r>
    </w:p>
    <w:p>
      <w:pPr>
        <w:spacing w:after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3.1 Background Colors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400"/>
        <w:gridCol w:w="3760"/>
      </w:tblGrid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Swatch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Hex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Name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FFFFFF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#FFFFFF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--bg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Primary white background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F7F9FC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#F7F9FC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--bg1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Subtle off-white, section backgrounds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3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EFF3F9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#EFF3F9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--bg2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Light gray, card backgrounds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4EA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E4EAF4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#E4EAF4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--bg3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Medium gray, inactive states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3.2 Text / Ink Colors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400"/>
        <w:gridCol w:w="3760"/>
      </w:tblGrid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Swatch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Hex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Name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0D1526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#0D1526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--ink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Primary text, headings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7416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374162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#374162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--ink2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Secondary text, subheadings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6B748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#6B748F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--ink3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Body text, descriptions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9BA3B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9BA3B8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#9BA3B8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--ink4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Placeholder, captions, muted text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3.3 Primary Blue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400"/>
        <w:gridCol w:w="3760"/>
      </w:tblGrid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Swatch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Hex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Name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2563EB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#2563EB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--blue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Primary action color, CTA buttons, links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3B82F6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#3B82F6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--blue-light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Hover states for blue elements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EFF6FF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#EFF6FF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--blue-pale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Blue tinted backgrounds, badge fills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DBEAFE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#DBEAFE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--blue-mid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Blue borders, dividers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3.4 Accent Violet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400"/>
        <w:gridCol w:w="3760"/>
      </w:tblGrid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Swatch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Hex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Name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7C3AE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7C3AED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#7C3AED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--violet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Secondary accent, premium features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8B5C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8B5CF6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#8B5CF6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--violet-light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Hover states for violet elements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F5F3FF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#F5F3FF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--violet-pale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Violet tinted backgrounds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3.5 Border Colors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400"/>
        <w:gridCol w:w="3760"/>
      </w:tblGrid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Swatch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Hex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Name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2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E2E8F0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#E2E8F0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--border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Default borders, dividers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BD5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CBD5E1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#CBD5E1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--border2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Stronger borders, ghost buttons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3.6 Status Colors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400"/>
        <w:gridCol w:w="3760"/>
      </w:tblGrid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Swatch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Hex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Name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374162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A34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16A34A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#16A34A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Success text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Checkmarks, completed states, positive values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DCFCE7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#DCFCE7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Success bg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Success badge backgrounds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86EFA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86EFAC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#86EFAC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Success border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Success badge borders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444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EF4444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#EF4444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Error text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Error states, negative indicators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FEF2F2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#FEF2F2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Error bg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Error badge backgrounds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CAC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FECACA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#FECACA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Error border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Error badge borders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BBF2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FBBF24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#FBBF24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Warning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Star ratings, caution indicators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7DD3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7DD3FC"/>
              </w:rPr>
              <w:t xml:space="preserve"> 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1526"/>
                <w:sz w:val="18"/>
                <w:szCs w:val="18"/>
              </w:rPr>
              <w:t xml:space="preserve">#7DD3FC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D1526"/>
                <w:sz w:val="18"/>
                <w:szCs w:val="18"/>
              </w:rPr>
              <w:t xml:space="preserve">Info / focus</w:t>
            </w:r>
          </w:p>
        </w:tc>
        <w:tc>
          <w:tcPr>
            <w:tcW w:type="dxa" w:w="3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6B748F"/>
                <w:sz w:val="18"/>
                <w:szCs w:val="18"/>
              </w:rPr>
              <w:t xml:space="preserve">Accent on dark backgrounds, focus rings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3.7 Gradients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Gradients are used sparingly to add energy to brand moments. Never apply gradients to body text.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CSS Value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Brand gradient</w:t>
            </w:r>
          </w:p>
        </w:tc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linear-gradient(135deg, #2563EB, #7C3AED)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Logomark, booking hero, instructor avatars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Blue glow</w:t>
            </w:r>
          </w:p>
        </w:tc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radial-gradient(circle, rgba(37,99,235,0.06), transparent 65%)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Hero section background decoration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Violet glow</w:t>
            </w:r>
          </w:p>
        </w:tc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radial-gradient(circle, rgba(124,58,237,0.04), transparent 65%)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Secondary background decoration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CTA glow</w:t>
            </w:r>
          </w:p>
        </w:tc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radial-gradient(ellipse, rgba(37,99,235,0.18), transparent 65%)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Dark CTA section highlight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Availability bar</w:t>
            </w:r>
          </w:p>
        </w:tc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linear-gradient(90deg, #2563EB, #7C3AED)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Instructor availability progress bars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4. Components &amp; Spacing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4.1 Border Radii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Consistent border radii create visual coherence across the interface. Always match the radius to the component type.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360"/>
      </w:tblGrid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Radius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CSS Selector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Buttons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8px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.btn-primary, .btn-ghost, .nav-cta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Cards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14px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.pc, .tc, .mk-cal, .compare-box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Large panels / mockups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16px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.mockup, .trial-form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Tags / badges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4px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.feat-tag, .mk-badge, .dp-badge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Pill badges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100px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.hero-kicker, .tg-badge, .dp-bh-chip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Icon containers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10px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.feat-icon, .pain-icon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Avatar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50%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.tc-avatar, .dp-inst-avatar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Phone shell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48px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.dphone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Nav logo mark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7px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.nav-logo-mark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Toggle switch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12px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.tg-switch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4.2 Spacing Scale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All spacing follows a base-4 scale. The most commonly used values are listed below. Never use arbitrary values outside this scale.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 Inches</w:t>
            </w:r>
          </w:p>
        </w:tc>
        <w:tc>
          <w:tcPr>
            <w:tcW w:type="dxa" w:w="4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Common Use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563EB"/>
                <w:sz w:val="18"/>
                <w:szCs w:val="18"/>
              </w:rPr>
              <w:t xml:space="preserve">4px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9BA3B8"/>
                <w:sz w:val="18"/>
                <w:szCs w:val="18"/>
              </w:rPr>
              <w:t xml:space="preserve">0.04"</w:t>
            </w:r>
          </w:p>
        </w:tc>
        <w:tc>
          <w:tcPr>
            <w:tcW w:type="dxa" w:w="4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Micro gaps (dot spacing, tiny padding)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563EB"/>
                <w:sz w:val="18"/>
                <w:szCs w:val="18"/>
              </w:rPr>
              <w:t xml:space="preserve">6–8px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9BA3B8"/>
                <w:sz w:val="18"/>
                <w:szCs w:val="18"/>
              </w:rPr>
              <w:t xml:space="preserve">0.06–0.08"</w:t>
            </w:r>
          </w:p>
        </w:tc>
        <w:tc>
          <w:tcPr>
            <w:tcW w:type="dxa" w:w="4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Inline icon gaps, small pill padding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563EB"/>
                <w:sz w:val="18"/>
                <w:szCs w:val="18"/>
              </w:rPr>
              <w:t xml:space="preserve">10–12px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9BA3B8"/>
                <w:sz w:val="18"/>
                <w:szCs w:val="18"/>
              </w:rPr>
              <w:t xml:space="preserve">0.10–0.12"</w:t>
            </w:r>
          </w:p>
        </w:tc>
        <w:tc>
          <w:tcPr>
            <w:tcW w:type="dxa" w:w="4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Card inner padding (compact)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563EB"/>
                <w:sz w:val="18"/>
                <w:szCs w:val="18"/>
              </w:rPr>
              <w:t xml:space="preserve">14–16px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9BA3B8"/>
                <w:sz w:val="18"/>
                <w:szCs w:val="18"/>
              </w:rPr>
              <w:t xml:space="preserve">0.14–0.16"</w:t>
            </w:r>
          </w:p>
        </w:tc>
        <w:tc>
          <w:tcPr>
            <w:tcW w:type="dxa" w:w="4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Form field padding, list item spacing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563EB"/>
                <w:sz w:val="18"/>
                <w:szCs w:val="18"/>
              </w:rPr>
              <w:t xml:space="preserve">20–24px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9BA3B8"/>
                <w:sz w:val="18"/>
                <w:szCs w:val="18"/>
              </w:rPr>
              <w:t xml:space="preserve">0.20–0.24"</w:t>
            </w:r>
          </w:p>
        </w:tc>
        <w:tc>
          <w:tcPr>
            <w:tcW w:type="dxa" w:w="4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Component padding, step gaps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563EB"/>
                <w:sz w:val="18"/>
                <w:szCs w:val="18"/>
              </w:rPr>
              <w:t xml:space="preserve">28–32px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9BA3B8"/>
                <w:sz w:val="18"/>
                <w:szCs w:val="18"/>
              </w:rPr>
              <w:t xml:space="preserve">0.28–0.32"</w:t>
            </w:r>
          </w:p>
        </w:tc>
        <w:tc>
          <w:tcPr>
            <w:tcW w:type="dxa" w:w="4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Card padding, section sub-spacing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563EB"/>
                <w:sz w:val="18"/>
                <w:szCs w:val="18"/>
              </w:rPr>
              <w:t xml:space="preserve">36–48px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9BA3B8"/>
                <w:sz w:val="18"/>
                <w:szCs w:val="18"/>
              </w:rPr>
              <w:t xml:space="preserve">0.36–0.48"</w:t>
            </w:r>
          </w:p>
        </w:tc>
        <w:tc>
          <w:tcPr>
            <w:tcW w:type="dxa" w:w="4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Hero stat gap, footer link spacing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563EB"/>
                <w:sz w:val="18"/>
                <w:szCs w:val="18"/>
              </w:rPr>
              <w:t xml:space="preserve">52–56px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9BA3B8"/>
                <w:sz w:val="18"/>
                <w:szCs w:val="18"/>
              </w:rPr>
              <w:t xml:space="preserve">0.52–0.56"</w:t>
            </w:r>
          </w:p>
        </w:tc>
        <w:tc>
          <w:tcPr>
            <w:tcW w:type="dxa" w:w="4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Section inner spacing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563EB"/>
                <w:sz w:val="18"/>
                <w:szCs w:val="18"/>
              </w:rPr>
              <w:t xml:space="preserve">60–64px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9BA3B8"/>
                <w:sz w:val="18"/>
                <w:szCs w:val="18"/>
              </w:rPr>
              <w:t xml:space="preserve">0.60–0.64"</w:t>
            </w:r>
          </w:p>
        </w:tc>
        <w:tc>
          <w:tcPr>
            <w:tcW w:type="dxa" w:w="4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Horizontal page padding, nav height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563EB"/>
                <w:sz w:val="18"/>
                <w:szCs w:val="18"/>
              </w:rPr>
              <w:t xml:space="preserve">72–80px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9BA3B8"/>
                <w:sz w:val="18"/>
                <w:szCs w:val="18"/>
              </w:rPr>
              <w:t xml:space="preserve">0.72–0.80"</w:t>
            </w:r>
          </w:p>
        </w:tc>
        <w:tc>
          <w:tcPr>
            <w:tcW w:type="dxa" w:w="4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Two-column layout gaps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563EB"/>
                <w:sz w:val="18"/>
                <w:szCs w:val="18"/>
              </w:rPr>
              <w:t xml:space="preserve">96px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9BA3B8"/>
                <w:sz w:val="18"/>
                <w:szCs w:val="18"/>
              </w:rPr>
              <w:t xml:space="preserve">1"</w:t>
            </w:r>
          </w:p>
        </w:tc>
        <w:tc>
          <w:tcPr>
            <w:tcW w:type="dxa" w:w="4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Top/bottom section padding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4.3 Shadow System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Shadows create depth hierarchy. Use the lightest shadow that communicates the component's elevation. Never stack shadows arbitrarily.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Context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CSS box-shadow value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Default card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0 4px 24px rgba(13,21,38,0.06)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Hero mockup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0 20px 60px rgba(13,21,38,0.1), 0 4px 16px rgba(13,21,38,0.06)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Button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0 4px 16px rgba(37,99,235,0.25)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Button :hover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0 6px 24px rgba(37,99,235,0.35)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Featured card :hover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0 12px 40px rgba(37,99,235,0.3)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Code panel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0 8px 32px rgba(13,21,38,0.15)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Phone shell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0 28px 72px rgba(13,21,38,0.22), 0 6px 20px rgba(13,21,38,0.12)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5. Motion &amp; Animation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Motion at SkiDesk is purposeful and restrained. Animations guide attention and provide feedback — they never distract or delay.</w:t>
      </w:r>
    </w:p>
    <w:p>
      <w:pPr>
        <w:spacing w:after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5.1 Animation Tokens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600"/>
        <w:gridCol w:w="2360"/>
      </w:tblGrid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Properties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Entrance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fadeUp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opacity 0→1, translateY 18px→0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0.5s ease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Scroll reveal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reveal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opacity 0→1, translateY 24px→0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0.55s ease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Hover color/transform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--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color, transform, box-shadow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0.15s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Toggle / position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--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background, transform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0.2s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Stagger delay 1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--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Hero element 1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0ms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Stagger delay 2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--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Hero element 2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70ms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Stagger delay 3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--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Hero element 3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140ms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Stagger delay 4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--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Hero element 4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210ms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Stagger delay 5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--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Hero element 5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280ms</w:t>
            </w:r>
          </w:p>
        </w:tc>
      </w:tr>
    </w:tbl>
    <w:p>
      <w:pPr>
        <w:spacing w:after="24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5.2 Principles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D1526"/>
          <w:sz w:val="22"/>
          <w:szCs w:val="22"/>
        </w:rPr>
        <w:t xml:space="preserve">Entrance: always up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Page elements enter by fading in and rising slightly (fadeUp). Never fly in from sides or scale dramatically.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D1526"/>
          <w:sz w:val="22"/>
          <w:szCs w:val="22"/>
        </w:rPr>
        <w:t xml:space="preserve">Stagger for context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When multiple elements appear together, stagger their delays by 70ms each to create a reading sequence.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D1526"/>
          <w:sz w:val="22"/>
          <w:szCs w:val="22"/>
        </w:rPr>
        <w:t xml:space="preserve">Fast hover feedback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0.15s is the sweet spot for hover states — fast enough to feel responsive, slow enough to register.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D1526"/>
          <w:sz w:val="22"/>
          <w:szCs w:val="22"/>
        </w:rPr>
        <w:t xml:space="preserve">Respect reduced-motion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Always pair animations with @media (prefers-reduced-motion: reduce) fallbacks that disable translate and fade.</w:t>
      </w:r>
    </w:p>
    <w:p>
      <w:pPr>
        <w:spacing w:after="24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6. Dark Background Usage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The dark ink background (#0D1526) is used in three key moments: the featured pricing card, the CTA section, and code/terminal panels. These create contrast moments that guide the user's eye.</w:t>
      </w:r>
    </w:p>
    <w:p>
      <w:pPr>
        <w:spacing w:after="12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D1526"/>
          <w:sz w:val="28"/>
          <w:szCs w:val="28"/>
        </w:rPr>
        <w:t xml:space="preserve">6.1 Text Hierarchy on Dark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AABBCC"/>
                <w:sz w:val="18"/>
                <w:szCs w:val="18"/>
              </w:rPr>
              <w:t xml:space="preserve">Primary text / headings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rgba(255,255,255,1.0) — #FFFFFF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AABBCC"/>
                <w:sz w:val="18"/>
                <w:szCs w:val="18"/>
              </w:rPr>
              <w:t xml:space="preserve">Body text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rgba(255,255,255,0.55)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AABBCC"/>
                <w:sz w:val="18"/>
                <w:szCs w:val="18"/>
              </w:rPr>
              <w:t xml:space="preserve">Secondary text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rgba(255,255,255,0.50)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AABBCC"/>
                <w:sz w:val="18"/>
                <w:szCs w:val="18"/>
              </w:rPr>
              <w:t xml:space="preserve">Tertiary / labels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rgba(255,255,255,0.40)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AABBCC"/>
                <w:sz w:val="18"/>
                <w:szCs w:val="18"/>
              </w:rPr>
              <w:t xml:space="preserve">Muted / captions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rgba(255,255,255,0.30)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AABBCC"/>
                <w:sz w:val="18"/>
                <w:szCs w:val="18"/>
              </w:rPr>
              <w:t xml:space="preserve">Ultra-muted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rgba(255,255,255,0.25)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AABBCC"/>
                <w:sz w:val="18"/>
                <w:szCs w:val="18"/>
              </w:rPr>
              <w:t xml:space="preserve">Highlighted em / focus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#7DD3FC — sky blue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AABBCC"/>
                <w:sz w:val="18"/>
                <w:szCs w:val="18"/>
              </w:rPr>
              <w:t xml:space="preserve">Button bg on dark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rgba(59,130,246,0.2)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7. CSS Variables Quick Reference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Copy this block into the :root selector of any SkiDesk stylesheet.</w:t>
      </w:r>
    </w:p>
    <w:p>
      <w:pPr>
        <w:spacing w:after="120"/>
      </w:pP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:root {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9BA3B8"/>
          <w:sz w:val="18"/>
          <w:szCs w:val="18"/>
        </w:rPr>
        <w:t xml:space="preserve">  /* Backgrounds */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--bg:          #FFFFFF;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--bg1:         #F7F9FC;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--bg2:         #EFF3F9;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--bg3:         #E4EAF4;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 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9BA3B8"/>
          <w:sz w:val="18"/>
          <w:szCs w:val="18"/>
        </w:rPr>
        <w:t xml:space="preserve">  /* Ink / Text */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--ink:         #0D1526;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--ink2:        #374162;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--ink3:        #6B748F;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--ink4:        #9BA3B8;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 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9BA3B8"/>
          <w:sz w:val="18"/>
          <w:szCs w:val="18"/>
        </w:rPr>
        <w:t xml:space="preserve">  /* Primary Blue */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--blue:        #2563EB;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--blue-light:  #3B82F6;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--blue-pale:   #EFF6FF;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--blue-mid:    #DBEAFE;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 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9BA3B8"/>
          <w:sz w:val="18"/>
          <w:szCs w:val="18"/>
        </w:rPr>
        <w:t xml:space="preserve">  /* Accent Violet */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--violet:       #7C3AED;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--violet-light: #8B5CF6;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--violet-pale:  #F5F3FF;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 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9BA3B8"/>
          <w:sz w:val="18"/>
          <w:szCs w:val="18"/>
        </w:rPr>
        <w:t xml:space="preserve">  /* Borders */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--border:      #E2E8F0;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--border2:     #CBD5E1;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 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9BA3B8"/>
          <w:sz w:val="18"/>
          <w:szCs w:val="18"/>
        </w:rPr>
        <w:t xml:space="preserve">  /* Fonts */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  --font: 'Plus Jakarta Sans', sans-serif;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  --mono: 'JetBrains Mono', monospace;</w:t>
      </w:r>
    </w:p>
    <w:p>
      <w:pPr>
        <w:shd w:fill="F7F9FC" w:val="clear"/>
        <w:spacing w:after="20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}</w:t>
      </w:r>
    </w:p>
    <w:p>
      <w:pPr>
        <w:spacing w:after="360"/>
      </w:pPr>
    </w:p>
    <w:p>
      <w:r>
        <w:br w:type="page"/>
      </w:r>
    </w:p>
    <w:p>
      <w:pPr>
        <w:spacing w:after="3600"/>
      </w:pPr>
    </w:p>
    <w:p>
      <w:pPr>
        <w:pBdr>
          <w:bottom w:val="single" w:color="2563EB" w:sz="6" w:space="1"/>
        </w:pBdr>
        <w:spacing w:after="240"/>
        <w:jc w:val="center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0D1526"/>
          <w:sz w:val="24"/>
          <w:szCs w:val="24"/>
        </w:rPr>
        <w:t xml:space="preserve">SkiDesk Brand Guidelines v1.0</w:t>
      </w:r>
    </w:p>
    <w:p>
      <w:pPr>
        <w:spacing w:after="80"/>
        <w:jc w:val="center"/>
      </w:pPr>
      <w:r>
        <w:rPr>
          <w:rFonts w:ascii="Arial" w:cs="Arial" w:eastAsia="Arial" w:hAnsi="Arial"/>
          <w:color w:val="6B748F"/>
          <w:sz w:val="20"/>
          <w:szCs w:val="20"/>
        </w:rPr>
        <w:t xml:space="preserve">Questions? Contact the design team.</w:t>
      </w:r>
    </w:p>
    <w:p>
      <w:pPr>
        <w:jc w:val="center"/>
      </w:pPr>
      <w:r>
        <w:rPr>
          <w:rFonts w:ascii="Arial" w:cs="Arial" w:eastAsia="Arial" w:hAnsi="Arial"/>
          <w:color w:val="9BA3B8"/>
          <w:sz w:val="18"/>
          <w:szCs w:val="18"/>
        </w:rPr>
        <w:t xml:space="preserve">This document is confidential and intended for internal use 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1"/>
      </w:pBdr>
      <w:spacing w:before="60"/>
      <w:jc w:val="right"/>
    </w:pPr>
    <w:r>
      <w:rPr>
        <w:rFonts w:ascii="Arial" w:cs="Arial" w:eastAsia="Arial" w:hAnsi="Arial"/>
        <w:color w:val="9BA3B8"/>
        <w:sz w:val="18"/>
        <w:szCs w:val="18"/>
      </w:rPr>
      <w:t xml:space="preserve">Page </w:t>
    </w:r>
    <w:r>
      <w:rPr>
        <w:rFonts w:ascii="Arial" w:cs="Arial" w:eastAsia="Arial" w:hAnsi="Arial"/>
        <w:color w:val="9B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1"/>
      </w:pBdr>
      <w:spacing w:after="60"/>
    </w:pPr>
    <w:r>
      <w:rPr>
        <w:rFonts w:ascii="Arial" w:cs="Arial" w:eastAsia="Arial" w:hAnsi="Arial"/>
        <w:b/>
        <w:bCs/>
        <w:color w:val="0D1526"/>
        <w:sz w:val="18"/>
        <w:szCs w:val="18"/>
      </w:rPr>
      <w:t xml:space="preserve">SkiDesk Brand Guidelines</w:t>
    </w:r>
    <w:r>
      <w:rPr>
        <w:rFonts w:ascii="Arial" w:cs="Arial" w:eastAsia="Arial" w:hAnsi="Arial"/>
        <w:color w:val="9BA3B8"/>
        <w:sz w:val="18"/>
        <w:szCs w:val="18"/>
      </w:rPr>
      <w:t xml:space="preserve">    —  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0D152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0D152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2026-06-10T09:04:30.868Z</dcterms:created>
  <dcterms:modified xsi:type="dcterms:W3CDTF">2026-06-10T09:04:30.876Z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