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1E040" w14:textId="6E3579A1" w:rsidR="0071204B" w:rsidRPr="005868EB" w:rsidRDefault="00EE0A0E" w:rsidP="00E913DB">
      <w:pPr>
        <w:rPr>
          <w:b/>
          <w:bCs/>
        </w:rPr>
      </w:pPr>
      <w:r>
        <w:rPr>
          <w:b/>
          <w:bCs/>
        </w:rPr>
        <w:t xml:space="preserve">Adapting to </w:t>
      </w:r>
      <w:r w:rsidR="008B74BC">
        <w:rPr>
          <w:b/>
          <w:bCs/>
        </w:rPr>
        <w:t xml:space="preserve">low </w:t>
      </w:r>
      <w:r>
        <w:rPr>
          <w:b/>
          <w:bCs/>
        </w:rPr>
        <w:t xml:space="preserve">Colorado River </w:t>
      </w:r>
      <w:r w:rsidR="00FF61D5">
        <w:rPr>
          <w:b/>
          <w:bCs/>
        </w:rPr>
        <w:t>f</w:t>
      </w:r>
      <w:r>
        <w:rPr>
          <w:b/>
          <w:bCs/>
        </w:rPr>
        <w:t>lows</w:t>
      </w:r>
      <w:r w:rsidR="00C3425D">
        <w:rPr>
          <w:b/>
          <w:bCs/>
        </w:rPr>
        <w:t xml:space="preserve"> and storage</w:t>
      </w:r>
      <w:r>
        <w:rPr>
          <w:b/>
          <w:bCs/>
        </w:rPr>
        <w:t xml:space="preserve">: </w:t>
      </w:r>
      <w:r w:rsidR="0011096C">
        <w:rPr>
          <w:b/>
          <w:bCs/>
        </w:rPr>
        <w:t>lessons from</w:t>
      </w:r>
      <w:r w:rsidR="00FF61D5">
        <w:rPr>
          <w:b/>
          <w:bCs/>
        </w:rPr>
        <w:t xml:space="preserve"> 3 </w:t>
      </w:r>
      <w:r w:rsidR="00B46F71">
        <w:rPr>
          <w:b/>
          <w:bCs/>
        </w:rPr>
        <w:t xml:space="preserve">computer </w:t>
      </w:r>
      <w:r w:rsidR="00BE21C6">
        <w:rPr>
          <w:b/>
          <w:bCs/>
        </w:rPr>
        <w:t>exercises</w:t>
      </w:r>
    </w:p>
    <w:p w14:paraId="79D6DD9F" w14:textId="77777777" w:rsidR="005868EB" w:rsidRPr="005868EB" w:rsidRDefault="005868EB" w:rsidP="0085319F">
      <w:pPr>
        <w:jc w:val="center"/>
      </w:pPr>
    </w:p>
    <w:p w14:paraId="18BF6506" w14:textId="77777777" w:rsidR="00C41D6C" w:rsidRDefault="008C1CDE" w:rsidP="00E913DB">
      <w:r w:rsidRPr="008C1CDE">
        <w:t>David E. Rosenberg</w:t>
      </w:r>
    </w:p>
    <w:p w14:paraId="49EFB63D" w14:textId="329DF8DA" w:rsidR="008C1CDE" w:rsidRDefault="008C1CDE" w:rsidP="00E913DB">
      <w:r w:rsidRPr="008C1CDE">
        <w:t>Utah State University</w:t>
      </w:r>
      <w:r w:rsidR="00D25BC7">
        <w:t xml:space="preserve"> |</w:t>
      </w:r>
      <w:r w:rsidRPr="008C1CDE">
        <w:t xml:space="preserve"> </w:t>
      </w:r>
      <w:hyperlink r:id="rId5" w:history="1">
        <w:r w:rsidRPr="008C1CDE">
          <w:rPr>
            <w:rStyle w:val="Hyperlink"/>
          </w:rPr>
          <w:t>david.rosenberg@usu.edu</w:t>
        </w:r>
      </w:hyperlink>
      <w:r w:rsidR="00D25BC7">
        <w:t xml:space="preserve"> | </w:t>
      </w:r>
      <w:r w:rsidR="00C41D6C">
        <w:t>@</w:t>
      </w:r>
      <w:proofErr w:type="spellStart"/>
      <w:r w:rsidR="00C41D6C">
        <w:t>WaterModeler</w:t>
      </w:r>
      <w:proofErr w:type="spellEnd"/>
      <w:r w:rsidR="00C41D6C">
        <w:t xml:space="preserve"> </w:t>
      </w:r>
      <w:r w:rsidR="00260602">
        <w:t xml:space="preserve">July </w:t>
      </w:r>
      <w:r w:rsidR="00CD3F7E">
        <w:t>27</w:t>
      </w:r>
      <w:r w:rsidR="00E57386">
        <w:t>, 2022</w:t>
      </w:r>
    </w:p>
    <w:p w14:paraId="4CB92799" w14:textId="77777777" w:rsidR="0085319F" w:rsidRDefault="0085319F" w:rsidP="0085319F"/>
    <w:p w14:paraId="41FB6F1A" w14:textId="60B172BC" w:rsidR="00EE0A0E" w:rsidRDefault="00F74795" w:rsidP="0085319F">
      <w:r>
        <w:t xml:space="preserve">As </w:t>
      </w:r>
      <w:r w:rsidR="00EE0A0E">
        <w:t>Colorado River flows and reservoir levels decline, discussion</w:t>
      </w:r>
      <w:r w:rsidR="00484A8C">
        <w:t xml:space="preserve"> is ramping </w:t>
      </w:r>
      <w:r w:rsidR="00E913DB">
        <w:t xml:space="preserve">up </w:t>
      </w:r>
      <w:r w:rsidR="00D4795A">
        <w:t>about</w:t>
      </w:r>
      <w:r w:rsidR="00EE0A0E">
        <w:t xml:space="preserve"> adapt</w:t>
      </w:r>
      <w:r w:rsidR="00D4795A">
        <w:t>ing</w:t>
      </w:r>
      <w:r w:rsidR="00EE0A0E">
        <w:t xml:space="preserve"> operations to </w:t>
      </w:r>
      <w:r w:rsidR="00CD3F7E">
        <w:t xml:space="preserve">low </w:t>
      </w:r>
      <w:r w:rsidR="00EE0A0E">
        <w:t>flow</w:t>
      </w:r>
      <w:r>
        <w:t xml:space="preserve"> and storage</w:t>
      </w:r>
      <w:r w:rsidR="00EE0A0E">
        <w:t xml:space="preserve"> because </w:t>
      </w:r>
      <w:r>
        <w:t>existing operations adapt only to storage</w:t>
      </w:r>
      <w:r w:rsidR="00EE0A0E">
        <w:t xml:space="preserve">. This post reviews three </w:t>
      </w:r>
      <w:r w:rsidR="00FF61D5">
        <w:t>recent</w:t>
      </w:r>
      <w:r w:rsidR="00DB7B13">
        <w:t xml:space="preserve"> </w:t>
      </w:r>
      <w:r w:rsidR="00B46F71">
        <w:t xml:space="preserve">computer </w:t>
      </w:r>
      <w:r w:rsidR="00BE21C6">
        <w:t>exercises</w:t>
      </w:r>
      <w:r w:rsidR="0011096C">
        <w:t xml:space="preserve"> that </w:t>
      </w:r>
      <w:r>
        <w:t xml:space="preserve">adapted </w:t>
      </w:r>
      <w:r w:rsidR="00DB7B13">
        <w:t xml:space="preserve">Colorado River </w:t>
      </w:r>
      <w:r w:rsidR="00EE0A0E">
        <w:t xml:space="preserve">operations to </w:t>
      </w:r>
      <w:r w:rsidR="008B74BC">
        <w:t xml:space="preserve">low </w:t>
      </w:r>
      <w:r w:rsidR="00EE0A0E">
        <w:t>flow</w:t>
      </w:r>
      <w:r>
        <w:t xml:space="preserve"> and </w:t>
      </w:r>
      <w:r w:rsidR="00CD3F7E">
        <w:t xml:space="preserve">low </w:t>
      </w:r>
      <w:r>
        <w:t>storage</w:t>
      </w:r>
      <w:r w:rsidR="00EE0A0E">
        <w:t xml:space="preserve">. </w:t>
      </w:r>
      <w:r w:rsidR="00FF61D5">
        <w:t>Three final paragraphs</w:t>
      </w:r>
      <w:r w:rsidR="00EE0A0E">
        <w:t xml:space="preserve"> synthesize lessons</w:t>
      </w:r>
      <w:r w:rsidR="0011096C">
        <w:t xml:space="preserve"> </w:t>
      </w:r>
      <w:bookmarkStart w:id="0" w:name="_GoBack"/>
      <w:bookmarkEnd w:id="0"/>
      <w:r w:rsidR="008B74BC">
        <w:t xml:space="preserve">to build </w:t>
      </w:r>
      <w:r w:rsidR="00CD3F7E">
        <w:t>towards more equitable and sustainable operations</w:t>
      </w:r>
      <w:r w:rsidR="00EE0A0E">
        <w:t>.</w:t>
      </w:r>
    </w:p>
    <w:p w14:paraId="1FD2EE72" w14:textId="1C72CBFF" w:rsidR="00386EE8" w:rsidRDefault="00B46F71" w:rsidP="00464408">
      <w:pPr>
        <w:pStyle w:val="Heading1"/>
        <w:numPr>
          <w:ilvl w:val="0"/>
          <w:numId w:val="23"/>
        </w:numPr>
        <w:rPr>
          <w:b w:val="0"/>
          <w:bCs w:val="0"/>
        </w:rPr>
      </w:pPr>
      <w:r w:rsidRPr="00FD161B">
        <w:rPr>
          <w:b w:val="0"/>
          <w:bCs w:val="0"/>
          <w:noProof/>
        </w:rPr>
        <mc:AlternateContent>
          <mc:Choice Requires="wps">
            <w:drawing>
              <wp:anchor distT="45720" distB="45720" distL="114300" distR="114300" simplePos="0" relativeHeight="251663360" behindDoc="0" locked="0" layoutInCell="1" allowOverlap="1" wp14:anchorId="7D7D5A72" wp14:editId="2CB99945">
                <wp:simplePos x="0" y="0"/>
                <wp:positionH relativeFrom="column">
                  <wp:posOffset>2827020</wp:posOffset>
                </wp:positionH>
                <wp:positionV relativeFrom="paragraph">
                  <wp:posOffset>255905</wp:posOffset>
                </wp:positionV>
                <wp:extent cx="3331845" cy="3090545"/>
                <wp:effectExtent l="0" t="0" r="2095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1845" cy="3090545"/>
                        </a:xfrm>
                        <a:prstGeom prst="rect">
                          <a:avLst/>
                        </a:prstGeom>
                        <a:solidFill>
                          <a:srgbClr val="FFFFFF"/>
                        </a:solidFill>
                        <a:ln w="9525">
                          <a:solidFill>
                            <a:srgbClr val="000000"/>
                          </a:solidFill>
                          <a:miter lim="800000"/>
                          <a:headEnd/>
                          <a:tailEnd/>
                        </a:ln>
                      </wps:spPr>
                      <wps:txbx>
                        <w:txbxContent>
                          <w:p w14:paraId="50AB4F41" w14:textId="198ED00D" w:rsidR="00B46F71" w:rsidRDefault="00B46F71" w:rsidP="00B46F71">
                            <w:r w:rsidRPr="003F6374">
                              <w:rPr>
                                <w:rFonts w:ascii="Times New Roman" w:eastAsia="Times New Roman" w:hAnsi="Times New Roman" w:cs="Times New Roman"/>
                                <w:noProof/>
                                <w:color w:val="000000"/>
                                <w:bdr w:val="none" w:sz="0" w:space="0" w:color="auto" w:frame="1"/>
                              </w:rPr>
                              <w:drawing>
                                <wp:inline distT="0" distB="0" distL="0" distR="0" wp14:anchorId="16D04D47" wp14:editId="248F7C4B">
                                  <wp:extent cx="3191985" cy="2394201"/>
                                  <wp:effectExtent l="0" t="0" r="889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5688" cy="2419481"/>
                                          </a:xfrm>
                                          <a:prstGeom prst="rect">
                                            <a:avLst/>
                                          </a:prstGeom>
                                          <a:noFill/>
                                          <a:ln>
                                            <a:noFill/>
                                          </a:ln>
                                        </pic:spPr>
                                      </pic:pic>
                                    </a:graphicData>
                                  </a:graphic>
                                </wp:inline>
                              </w:drawing>
                            </w:r>
                          </w:p>
                          <w:p w14:paraId="570C61C1" w14:textId="59B772FF" w:rsidR="00B46F71" w:rsidRPr="00FD161B" w:rsidRDefault="00B46F71" w:rsidP="00B46F71">
                            <w:pPr>
                              <w:rPr>
                                <w:b/>
                                <w:bCs/>
                              </w:rPr>
                            </w:pPr>
                            <w:r w:rsidRPr="00FD161B">
                              <w:rPr>
                                <w:b/>
                                <w:bCs/>
                              </w:rPr>
                              <w:t xml:space="preserve">Figure </w:t>
                            </w:r>
                            <w:r>
                              <w:rPr>
                                <w:b/>
                                <w:bCs/>
                              </w:rPr>
                              <w:t>1</w:t>
                            </w:r>
                            <w:r w:rsidRPr="00FD161B">
                              <w:rPr>
                                <w:b/>
                                <w:bCs/>
                              </w:rPr>
                              <w:t xml:space="preserve">. </w:t>
                            </w:r>
                            <w:r w:rsidRPr="003F6374">
                              <w:rPr>
                                <w:rFonts w:ascii="Times New Roman" w:eastAsia="Times New Roman" w:hAnsi="Times New Roman" w:cs="Times New Roman"/>
                                <w:b/>
                                <w:bCs/>
                                <w:color w:val="000000"/>
                              </w:rPr>
                              <w:t xml:space="preserve">Years (y-axis) </w:t>
                            </w:r>
                            <w:r>
                              <w:rPr>
                                <w:rFonts w:ascii="Times New Roman" w:eastAsia="Times New Roman" w:hAnsi="Times New Roman" w:cs="Times New Roman"/>
                                <w:b/>
                                <w:bCs/>
                                <w:color w:val="000000"/>
                              </w:rPr>
                              <w:t>until</w:t>
                            </w:r>
                            <w:r w:rsidRPr="003F6374">
                              <w:rPr>
                                <w:rFonts w:ascii="Times New Roman" w:eastAsia="Times New Roman" w:hAnsi="Times New Roman" w:cs="Times New Roman"/>
                                <w:b/>
                                <w:bCs/>
                                <w:color w:val="000000"/>
                              </w:rPr>
                              <w:t xml:space="preserve"> combined Lake Powell and Lake Mead storage </w:t>
                            </w:r>
                            <w:r w:rsidR="00BE21C6">
                              <w:rPr>
                                <w:rFonts w:ascii="Times New Roman" w:eastAsia="Times New Roman" w:hAnsi="Times New Roman" w:cs="Times New Roman"/>
                                <w:b/>
                                <w:bCs/>
                                <w:color w:val="000000"/>
                              </w:rPr>
                              <w:t>drops</w:t>
                            </w:r>
                            <w:r w:rsidRPr="003F6374">
                              <w:rPr>
                                <w:rFonts w:ascii="Times New Roman" w:eastAsia="Times New Roman" w:hAnsi="Times New Roman" w:cs="Times New Roman"/>
                                <w:b/>
                                <w:bCs/>
                                <w:color w:val="000000"/>
                              </w:rPr>
                              <w:t xml:space="preserve"> to 12 </w:t>
                            </w:r>
                            <w:proofErr w:type="spellStart"/>
                            <w:r w:rsidRPr="003F6374">
                              <w:rPr>
                                <w:rFonts w:ascii="Times New Roman" w:eastAsia="Times New Roman" w:hAnsi="Times New Roman" w:cs="Times New Roman"/>
                                <w:b/>
                                <w:bCs/>
                                <w:color w:val="000000"/>
                              </w:rPr>
                              <w:t>maf</w:t>
                            </w:r>
                            <w:proofErr w:type="spellEnd"/>
                            <w:r>
                              <w:rPr>
                                <w:b/>
                                <w:bCs/>
                              </w:rPr>
                              <w:t>.</w:t>
                            </w:r>
                            <w:r w:rsidR="00BE21C6">
                              <w:rPr>
                                <w:b/>
                                <w:bCs/>
                              </w:rPr>
                              <w:t xml:space="preserve"> </w:t>
                            </w:r>
                            <w:r w:rsidR="00BE21C6" w:rsidRPr="00BE21C6">
                              <w:rPr>
                                <w:color w:val="FFC000" w:themeColor="accent4"/>
                              </w:rPr>
                              <w:t>ADP = adaptive rule</w:t>
                            </w:r>
                            <w:r w:rsidR="00BE21C6" w:rsidRPr="00BE21C6">
                              <w:t xml:space="preserve">. </w:t>
                            </w:r>
                            <w:r w:rsidR="00BE21C6" w:rsidRPr="00BE21C6">
                              <w:rPr>
                                <w:color w:val="FF0000"/>
                              </w:rPr>
                              <w:t>DCP = existing rules</w:t>
                            </w:r>
                            <w:r w:rsidR="00BE21C6" w:rsidRPr="00BE21C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7D5A72" id="_x0000_t202" coordsize="21600,21600" o:spt="202" path="m,l,21600r21600,l21600,xe">
                <v:stroke joinstyle="miter"/>
                <v:path gradientshapeok="t" o:connecttype="rect"/>
              </v:shapetype>
              <v:shape id="Text Box 2" o:spid="_x0000_s1026" type="#_x0000_t202" style="position:absolute;left:0;text-align:left;margin-left:222.6pt;margin-top:20.15pt;width:262.35pt;height:24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">
                <v:textbox>
                  <w:txbxContent>
                    <w:p w14:paraId="50AB4F41" w14:textId="198ED00D" w:rsidR="00B46F71" w:rsidRDefault="00B46F71" w:rsidP="00B46F71">
                      <w:r w:rsidRPr="003F6374">
                        <w:rPr>
                          <w:rFonts w:ascii="Times New Roman" w:eastAsia="Times New Roman" w:hAnsi="Times New Roman" w:cs="Times New Roman"/>
                          <w:noProof/>
                          <w:color w:val="000000"/>
                          <w:bdr w:val="none" w:sz="0" w:space="0" w:color="auto" w:frame="1"/>
                        </w:rPr>
                        <w:drawing>
                          <wp:inline distT="0" distB="0" distL="0" distR="0" wp14:anchorId="16D04D47" wp14:editId="248F7C4B">
                            <wp:extent cx="3191985" cy="2394201"/>
                            <wp:effectExtent l="0" t="0" r="889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5688" cy="2419481"/>
                                    </a:xfrm>
                                    <a:prstGeom prst="rect">
                                      <a:avLst/>
                                    </a:prstGeom>
                                    <a:noFill/>
                                    <a:ln>
                                      <a:noFill/>
                                    </a:ln>
                                  </pic:spPr>
                                </pic:pic>
                              </a:graphicData>
                            </a:graphic>
                          </wp:inline>
                        </w:drawing>
                      </w:r>
                    </w:p>
                    <w:p w14:paraId="570C61C1" w14:textId="59B772FF" w:rsidR="00B46F71" w:rsidRPr="00FD161B" w:rsidRDefault="00B46F71" w:rsidP="00B46F71">
                      <w:pPr>
                        <w:rPr>
                          <w:b/>
                          <w:bCs/>
                        </w:rPr>
                      </w:pPr>
                      <w:r w:rsidRPr="00FD161B">
                        <w:rPr>
                          <w:b/>
                          <w:bCs/>
                        </w:rPr>
                        <w:t xml:space="preserve">Figure </w:t>
                      </w:r>
                      <w:r>
                        <w:rPr>
                          <w:b/>
                          <w:bCs/>
                        </w:rPr>
                        <w:t>1</w:t>
                      </w:r>
                      <w:r w:rsidRPr="00FD161B">
                        <w:rPr>
                          <w:b/>
                          <w:bCs/>
                        </w:rPr>
                        <w:t xml:space="preserve">. </w:t>
                      </w:r>
                      <w:r w:rsidRPr="003F6374">
                        <w:rPr>
                          <w:rFonts w:ascii="Times New Roman" w:eastAsia="Times New Roman" w:hAnsi="Times New Roman" w:cs="Times New Roman"/>
                          <w:b/>
                          <w:bCs/>
                          <w:color w:val="000000"/>
                        </w:rPr>
                        <w:t xml:space="preserve">Years (y-axis) </w:t>
                      </w:r>
                      <w:r>
                        <w:rPr>
                          <w:rFonts w:ascii="Times New Roman" w:eastAsia="Times New Roman" w:hAnsi="Times New Roman" w:cs="Times New Roman"/>
                          <w:b/>
                          <w:bCs/>
                          <w:color w:val="000000"/>
                        </w:rPr>
                        <w:t>until</w:t>
                      </w:r>
                      <w:r w:rsidRPr="003F6374">
                        <w:rPr>
                          <w:rFonts w:ascii="Times New Roman" w:eastAsia="Times New Roman" w:hAnsi="Times New Roman" w:cs="Times New Roman"/>
                          <w:b/>
                          <w:bCs/>
                          <w:color w:val="000000"/>
                        </w:rPr>
                        <w:t xml:space="preserve"> combined Lake Powell and Lake Mead storage </w:t>
                      </w:r>
                      <w:r w:rsidR="00BE21C6">
                        <w:rPr>
                          <w:rFonts w:ascii="Times New Roman" w:eastAsia="Times New Roman" w:hAnsi="Times New Roman" w:cs="Times New Roman"/>
                          <w:b/>
                          <w:bCs/>
                          <w:color w:val="000000"/>
                        </w:rPr>
                        <w:t>drops</w:t>
                      </w:r>
                      <w:r w:rsidRPr="003F6374">
                        <w:rPr>
                          <w:rFonts w:ascii="Times New Roman" w:eastAsia="Times New Roman" w:hAnsi="Times New Roman" w:cs="Times New Roman"/>
                          <w:b/>
                          <w:bCs/>
                          <w:color w:val="000000"/>
                        </w:rPr>
                        <w:t xml:space="preserve"> to 12 </w:t>
                      </w:r>
                      <w:proofErr w:type="spellStart"/>
                      <w:r w:rsidRPr="003F6374">
                        <w:rPr>
                          <w:rFonts w:ascii="Times New Roman" w:eastAsia="Times New Roman" w:hAnsi="Times New Roman" w:cs="Times New Roman"/>
                          <w:b/>
                          <w:bCs/>
                          <w:color w:val="000000"/>
                        </w:rPr>
                        <w:t>maf</w:t>
                      </w:r>
                      <w:proofErr w:type="spellEnd"/>
                      <w:r>
                        <w:rPr>
                          <w:b/>
                          <w:bCs/>
                        </w:rPr>
                        <w:t>.</w:t>
                      </w:r>
                      <w:r w:rsidR="00BE21C6">
                        <w:rPr>
                          <w:b/>
                          <w:bCs/>
                        </w:rPr>
                        <w:t xml:space="preserve"> </w:t>
                      </w:r>
                      <w:r w:rsidR="00BE21C6" w:rsidRPr="00BE21C6">
                        <w:rPr>
                          <w:color w:val="FFC000" w:themeColor="accent4"/>
                        </w:rPr>
                        <w:t>ADP = adaptive rule</w:t>
                      </w:r>
                      <w:r w:rsidR="00BE21C6" w:rsidRPr="00BE21C6">
                        <w:t xml:space="preserve">. </w:t>
                      </w:r>
                      <w:r w:rsidR="00BE21C6" w:rsidRPr="00BE21C6">
                        <w:rPr>
                          <w:color w:val="FF0000"/>
                        </w:rPr>
                        <w:t>DCP = existing rules</w:t>
                      </w:r>
                      <w:r w:rsidR="00BE21C6" w:rsidRPr="00BE21C6">
                        <w:t>.</w:t>
                      </w:r>
                    </w:p>
                  </w:txbxContent>
                </v:textbox>
                <w10:wrap type="square"/>
              </v:shape>
            </w:pict>
          </mc:Fallback>
        </mc:AlternateContent>
      </w:r>
      <w:r w:rsidR="00386EE8">
        <w:t>Live within our means</w:t>
      </w:r>
      <w:r w:rsidR="000A7D73">
        <w:t xml:space="preserve"> </w:t>
      </w:r>
      <w:r w:rsidR="000A7D73" w:rsidRPr="007B1229">
        <w:rPr>
          <w:b w:val="0"/>
          <w:bCs w:val="0"/>
        </w:rPr>
        <w:fldChar w:fldCharType="begin"/>
      </w:r>
      <w:r w:rsidR="000A7D73" w:rsidRPr="007B1229">
        <w:rPr>
          <w:b w:val="0"/>
          <w:bCs w:val="0"/>
        </w:rPr>
        <w:instrText xml:space="preserve"> ADDIN EN.CITE &lt;EndNote&gt;&lt;Cite&gt;&lt;Author&gt;Wang&lt;/Author&gt;&lt;Year&gt;Submitted&lt;/Year&gt;&lt;RecNum&gt;2815&lt;/RecNum&gt;&lt;DisplayText&gt;(Wang and Rosenberg, Submitted)&lt;/DisplayText&gt;&lt;record&gt;&lt;rec-number&gt;2815&lt;/rec-number&gt;&lt;foreign-keys&gt;&lt;key app="EN" db-id="xxt5ta9pd995dwesap0pdzzp2weaz0w9werf" timestamp="1630103305"&gt;2815&lt;/key&gt;&lt;/foreign-keys&gt;&lt;ref-type name="Journal Article"&gt;17&lt;/ref-type&gt;&lt;contributors&gt;&lt;authors&gt;&lt;author&gt;Jian Wang&lt;/author&gt;&lt;author&gt;David E. Rosenberg&lt;/author&gt;&lt;/authors&gt;&lt;/contributors&gt;&lt;titles&gt;&lt;title&gt;Living within our Means: Adapting Colorado River Basin depletions to available water&lt;/title&gt;&lt;secondary-title&gt;Submitted to Journal of Water Resources Planning and Management&lt;/secondary-title&gt;&lt;/titles&gt;&lt;periodical&gt;&lt;full-title&gt;Submitted to Journal of Water Resources Planning and Management&lt;/full-title&gt;&lt;/periodical&gt;&lt;dates&gt;&lt;year&gt;Submitted&lt;/year&gt;&lt;/dates&gt;&lt;urls&gt;&lt;related-urls&gt;&lt;url&gt;https://digitalcommons.usu.edu/water_pubs/171/&lt;/url&gt;&lt;/related-urls&gt;&lt;/urls&gt;&lt;/record&gt;&lt;/Cite&gt;&lt;/EndNote&gt;</w:instrText>
      </w:r>
      <w:r w:rsidR="000A7D73" w:rsidRPr="007B1229">
        <w:rPr>
          <w:b w:val="0"/>
          <w:bCs w:val="0"/>
        </w:rPr>
        <w:fldChar w:fldCharType="separate"/>
      </w:r>
      <w:r w:rsidR="000A7D73" w:rsidRPr="007B1229">
        <w:rPr>
          <w:b w:val="0"/>
          <w:bCs w:val="0"/>
          <w:noProof/>
        </w:rPr>
        <w:t>(Wang and Rosenberg, Submitted)</w:t>
      </w:r>
      <w:r w:rsidR="000A7D73" w:rsidRPr="007B1229">
        <w:rPr>
          <w:b w:val="0"/>
          <w:bCs w:val="0"/>
        </w:rPr>
        <w:fldChar w:fldCharType="end"/>
      </w:r>
      <w:r w:rsidR="000A7D73" w:rsidRPr="007B1229">
        <w:rPr>
          <w:b w:val="0"/>
          <w:bCs w:val="0"/>
        </w:rPr>
        <w:t>(</w:t>
      </w:r>
      <w:hyperlink r:id="rId8" w:history="1">
        <w:r w:rsidR="000A7D73" w:rsidRPr="007B1229">
          <w:rPr>
            <w:rStyle w:val="Hyperlink"/>
          </w:rPr>
          <w:t>free link</w:t>
        </w:r>
      </w:hyperlink>
      <w:r w:rsidR="000A7D73" w:rsidRPr="007B1229">
        <w:rPr>
          <w:b w:val="0"/>
          <w:bCs w:val="0"/>
        </w:rPr>
        <w:t xml:space="preserve">). This effort </w:t>
      </w:r>
      <w:r w:rsidR="00652504" w:rsidRPr="007B1229">
        <w:rPr>
          <w:b w:val="0"/>
          <w:bCs w:val="0"/>
        </w:rPr>
        <w:t xml:space="preserve">defined a new rule that </w:t>
      </w:r>
      <w:r w:rsidR="007B1229" w:rsidRPr="007B1229">
        <w:rPr>
          <w:b w:val="0"/>
          <w:bCs w:val="0"/>
        </w:rPr>
        <w:t xml:space="preserve">adapted </w:t>
      </w:r>
      <w:r w:rsidR="000A7D73" w:rsidRPr="007B1229">
        <w:rPr>
          <w:b w:val="0"/>
          <w:bCs w:val="0"/>
        </w:rPr>
        <w:t>basin depletions</w:t>
      </w:r>
      <w:r w:rsidR="007B1229" w:rsidRPr="007B1229">
        <w:rPr>
          <w:b w:val="0"/>
          <w:bCs w:val="0"/>
        </w:rPr>
        <w:t xml:space="preserve"> to </w:t>
      </w:r>
      <w:r w:rsidR="00652504" w:rsidRPr="007B1229">
        <w:rPr>
          <w:b w:val="0"/>
          <w:bCs w:val="0"/>
        </w:rPr>
        <w:t xml:space="preserve">equal </w:t>
      </w:r>
      <w:r w:rsidR="000A7D73" w:rsidRPr="007B1229">
        <w:rPr>
          <w:b w:val="0"/>
          <w:bCs w:val="0"/>
        </w:rPr>
        <w:t>average flow over the prior 10 years</w:t>
      </w:r>
      <w:r w:rsidR="0085319F">
        <w:rPr>
          <w:b w:val="0"/>
          <w:bCs w:val="0"/>
        </w:rPr>
        <w:t xml:space="preserve">. The rule triggered </w:t>
      </w:r>
      <w:r w:rsidR="00652504" w:rsidRPr="007B1229">
        <w:rPr>
          <w:b w:val="0"/>
          <w:bCs w:val="0"/>
        </w:rPr>
        <w:t>when Lake Mead drew down below 1,060 feet</w:t>
      </w:r>
      <w:r w:rsidR="00187A6F">
        <w:rPr>
          <w:b w:val="0"/>
          <w:bCs w:val="0"/>
        </w:rPr>
        <w:t>—</w:t>
      </w:r>
      <w:r w:rsidR="008B74BC">
        <w:rPr>
          <w:b w:val="0"/>
          <w:bCs w:val="0"/>
        </w:rPr>
        <w:t>a</w:t>
      </w:r>
      <w:r w:rsidR="00187A6F">
        <w:rPr>
          <w:b w:val="0"/>
          <w:bCs w:val="0"/>
        </w:rPr>
        <w:t xml:space="preserve"> </w:t>
      </w:r>
      <w:r w:rsidR="008B74BC">
        <w:rPr>
          <w:b w:val="0"/>
          <w:bCs w:val="0"/>
        </w:rPr>
        <w:t>level that at the time was below the actual level</w:t>
      </w:r>
      <w:r w:rsidR="000A7D73" w:rsidRPr="007B1229">
        <w:rPr>
          <w:b w:val="0"/>
          <w:bCs w:val="0"/>
        </w:rPr>
        <w:t xml:space="preserve">. </w:t>
      </w:r>
      <w:r w:rsidR="00FF61D5">
        <w:rPr>
          <w:b w:val="0"/>
          <w:bCs w:val="0"/>
        </w:rPr>
        <w:t>The new rule was tested in a new</w:t>
      </w:r>
      <w:r w:rsidR="000A7D73" w:rsidRPr="007B1229">
        <w:rPr>
          <w:b w:val="0"/>
          <w:bCs w:val="0"/>
        </w:rPr>
        <w:t xml:space="preserve"> open-source exploratory model </w:t>
      </w:r>
      <w:r w:rsidR="00FF61D5">
        <w:rPr>
          <w:b w:val="0"/>
          <w:bCs w:val="0"/>
        </w:rPr>
        <w:t xml:space="preserve">that had </w:t>
      </w:r>
      <w:r w:rsidR="001E695F">
        <w:rPr>
          <w:b w:val="0"/>
          <w:bCs w:val="0"/>
        </w:rPr>
        <w:t>Upper Basin, Lower Basin, Mexico, Lake Powell, and Lake Mead objects</w:t>
      </w:r>
      <w:r w:rsidR="00FF61D5">
        <w:rPr>
          <w:b w:val="0"/>
          <w:bCs w:val="0"/>
        </w:rPr>
        <w:t xml:space="preserve">. </w:t>
      </w:r>
      <w:r w:rsidR="00D4795A">
        <w:rPr>
          <w:b w:val="0"/>
          <w:bCs w:val="0"/>
        </w:rPr>
        <w:t>First, a</w:t>
      </w:r>
      <w:r w:rsidR="000A7D73" w:rsidRPr="007B1229">
        <w:rPr>
          <w:b w:val="0"/>
          <w:bCs w:val="0"/>
        </w:rPr>
        <w:t xml:space="preserve"> base case of existing operations </w:t>
      </w:r>
      <w:r w:rsidR="00FF61D5">
        <w:rPr>
          <w:b w:val="0"/>
          <w:bCs w:val="0"/>
        </w:rPr>
        <w:t xml:space="preserve">was validated </w:t>
      </w:r>
      <w:r w:rsidR="000A7D73" w:rsidRPr="007B1229">
        <w:rPr>
          <w:b w:val="0"/>
          <w:bCs w:val="0"/>
        </w:rPr>
        <w:t xml:space="preserve">against Colorado River Simulation System (CRSS) output. </w:t>
      </w:r>
      <w:r w:rsidR="00652504" w:rsidRPr="007B1229">
        <w:rPr>
          <w:b w:val="0"/>
          <w:bCs w:val="0"/>
        </w:rPr>
        <w:t xml:space="preserve">Then the adaptive rule </w:t>
      </w:r>
      <w:r w:rsidR="00FF61D5">
        <w:rPr>
          <w:b w:val="0"/>
          <w:bCs w:val="0"/>
        </w:rPr>
        <w:t>was</w:t>
      </w:r>
      <w:r w:rsidR="00652504" w:rsidRPr="007B1229">
        <w:rPr>
          <w:b w:val="0"/>
          <w:bCs w:val="0"/>
        </w:rPr>
        <w:t xml:space="preserve"> </w:t>
      </w:r>
      <w:r w:rsidR="007B1229" w:rsidRPr="007B1229">
        <w:rPr>
          <w:b w:val="0"/>
          <w:bCs w:val="0"/>
        </w:rPr>
        <w:t>simulated</w:t>
      </w:r>
      <w:r w:rsidR="008B74BC">
        <w:rPr>
          <w:b w:val="0"/>
          <w:bCs w:val="0"/>
        </w:rPr>
        <w:t xml:space="preserve"> for</w:t>
      </w:r>
      <w:r w:rsidR="00FF61D5">
        <w:rPr>
          <w:b w:val="0"/>
          <w:bCs w:val="0"/>
        </w:rPr>
        <w:t xml:space="preserve"> </w:t>
      </w:r>
      <w:r w:rsidR="008B74BC">
        <w:rPr>
          <w:b w:val="0"/>
          <w:bCs w:val="0"/>
        </w:rPr>
        <w:t>the worst</w:t>
      </w:r>
      <w:r w:rsidR="00FF61D5">
        <w:rPr>
          <w:b w:val="0"/>
          <w:bCs w:val="0"/>
        </w:rPr>
        <w:t xml:space="preserve"> natural </w:t>
      </w:r>
      <w:r w:rsidR="00652504" w:rsidRPr="007B1229">
        <w:rPr>
          <w:b w:val="0"/>
          <w:bCs w:val="0"/>
        </w:rPr>
        <w:t>flow</w:t>
      </w:r>
      <w:r w:rsidR="008B74BC">
        <w:rPr>
          <w:b w:val="0"/>
          <w:bCs w:val="0"/>
        </w:rPr>
        <w:t>s</w:t>
      </w:r>
      <w:r w:rsidR="00652504" w:rsidRPr="007B1229">
        <w:rPr>
          <w:b w:val="0"/>
          <w:bCs w:val="0"/>
        </w:rPr>
        <w:t xml:space="preserve"> </w:t>
      </w:r>
      <w:r w:rsidR="00FF61D5">
        <w:rPr>
          <w:b w:val="0"/>
          <w:bCs w:val="0"/>
        </w:rPr>
        <w:t>at Lee Ferry</w:t>
      </w:r>
      <w:r w:rsidR="00652504" w:rsidRPr="007B1229">
        <w:rPr>
          <w:b w:val="0"/>
          <w:bCs w:val="0"/>
        </w:rPr>
        <w:t xml:space="preserve"> </w:t>
      </w:r>
      <w:r w:rsidR="008B74BC">
        <w:rPr>
          <w:b w:val="0"/>
          <w:bCs w:val="0"/>
        </w:rPr>
        <w:t xml:space="preserve">down to </w:t>
      </w:r>
      <w:r w:rsidR="001E695F">
        <w:rPr>
          <w:b w:val="0"/>
          <w:bCs w:val="0"/>
        </w:rPr>
        <w:t>5</w:t>
      </w:r>
      <w:r w:rsidR="00652504" w:rsidRPr="007B1229">
        <w:rPr>
          <w:b w:val="0"/>
          <w:bCs w:val="0"/>
        </w:rPr>
        <w:t xml:space="preserve"> million acre-feet</w:t>
      </w:r>
      <w:r w:rsidR="00BE21C6">
        <w:rPr>
          <w:b w:val="0"/>
          <w:bCs w:val="0"/>
        </w:rPr>
        <w:t xml:space="preserve"> (</w:t>
      </w:r>
      <w:proofErr w:type="spellStart"/>
      <w:r w:rsidR="00BE21C6">
        <w:rPr>
          <w:b w:val="0"/>
          <w:bCs w:val="0"/>
        </w:rPr>
        <w:t>maf</w:t>
      </w:r>
      <w:proofErr w:type="spellEnd"/>
      <w:r w:rsidR="00BE21C6">
        <w:rPr>
          <w:b w:val="0"/>
          <w:bCs w:val="0"/>
        </w:rPr>
        <w:t>)</w:t>
      </w:r>
      <w:r w:rsidR="00FD161B">
        <w:rPr>
          <w:b w:val="0"/>
          <w:bCs w:val="0"/>
        </w:rPr>
        <w:t xml:space="preserve"> </w:t>
      </w:r>
      <w:r w:rsidR="008B74BC">
        <w:rPr>
          <w:b w:val="0"/>
          <w:bCs w:val="0"/>
        </w:rPr>
        <w:t>derived from tree rings</w:t>
      </w:r>
      <w:r w:rsidR="00FD161B">
        <w:rPr>
          <w:b w:val="0"/>
          <w:bCs w:val="0"/>
        </w:rPr>
        <w:t xml:space="preserve"> back to 1416 AD</w:t>
      </w:r>
      <w:r w:rsidR="00652504" w:rsidRPr="007B1229">
        <w:rPr>
          <w:b w:val="0"/>
          <w:bCs w:val="0"/>
        </w:rPr>
        <w:t xml:space="preserve">. </w:t>
      </w:r>
      <w:r w:rsidR="0085319F" w:rsidRPr="007B1229">
        <w:rPr>
          <w:b w:val="0"/>
          <w:bCs w:val="0"/>
        </w:rPr>
        <w:t>Existing operations drew down Lake Powell and Lake Mead to critical levels in a few years whereas the adaptive rule sustained both reservoirs above their critical levels for long periods of time</w:t>
      </w:r>
      <w:r w:rsidR="00BE21C6">
        <w:rPr>
          <w:b w:val="0"/>
          <w:bCs w:val="0"/>
        </w:rPr>
        <w:t xml:space="preserve"> (Figure 1)</w:t>
      </w:r>
      <w:r w:rsidR="0085319F">
        <w:rPr>
          <w:b w:val="0"/>
          <w:bCs w:val="0"/>
        </w:rPr>
        <w:t>.</w:t>
      </w:r>
      <w:r w:rsidR="00FF61D5">
        <w:rPr>
          <w:b w:val="0"/>
          <w:bCs w:val="0"/>
        </w:rPr>
        <w:t xml:space="preserve"> </w:t>
      </w:r>
      <w:r w:rsidR="007B1229" w:rsidRPr="007B1229">
        <w:rPr>
          <w:b w:val="0"/>
          <w:bCs w:val="0"/>
        </w:rPr>
        <w:t>T</w:t>
      </w:r>
      <w:r w:rsidR="00652504" w:rsidRPr="007B1229">
        <w:rPr>
          <w:b w:val="0"/>
          <w:bCs w:val="0"/>
        </w:rPr>
        <w:t xml:space="preserve">he </w:t>
      </w:r>
      <w:r w:rsidR="00FF61D5">
        <w:rPr>
          <w:b w:val="0"/>
          <w:bCs w:val="0"/>
        </w:rPr>
        <w:t xml:space="preserve">exploratory </w:t>
      </w:r>
      <w:r w:rsidR="00652504" w:rsidRPr="007B1229">
        <w:rPr>
          <w:b w:val="0"/>
          <w:bCs w:val="0"/>
        </w:rPr>
        <w:t xml:space="preserve">model split </w:t>
      </w:r>
      <w:r w:rsidR="00BE21C6">
        <w:rPr>
          <w:b w:val="0"/>
          <w:bCs w:val="0"/>
        </w:rPr>
        <w:t>r</w:t>
      </w:r>
      <w:r w:rsidR="007B1229" w:rsidRPr="007B1229">
        <w:rPr>
          <w:b w:val="0"/>
          <w:bCs w:val="0"/>
        </w:rPr>
        <w:t xml:space="preserve">eductions </w:t>
      </w:r>
      <w:r w:rsidR="00FF61D5" w:rsidRPr="007B1229">
        <w:rPr>
          <w:b w:val="0"/>
          <w:bCs w:val="0"/>
        </w:rPr>
        <w:t xml:space="preserve">among </w:t>
      </w:r>
      <w:r w:rsidR="00FF61D5">
        <w:rPr>
          <w:b w:val="0"/>
          <w:bCs w:val="0"/>
        </w:rPr>
        <w:t>parties</w:t>
      </w:r>
      <w:r w:rsidR="00FF61D5" w:rsidRPr="007B1229">
        <w:rPr>
          <w:b w:val="0"/>
          <w:bCs w:val="0"/>
        </w:rPr>
        <w:t xml:space="preserve"> </w:t>
      </w:r>
      <w:r w:rsidR="007B1229" w:rsidRPr="007B1229">
        <w:rPr>
          <w:b w:val="0"/>
          <w:bCs w:val="0"/>
        </w:rPr>
        <w:t>as percentages</w:t>
      </w:r>
      <w:r w:rsidR="00652504" w:rsidRPr="007B1229">
        <w:rPr>
          <w:b w:val="0"/>
          <w:bCs w:val="0"/>
        </w:rPr>
        <w:t>.</w:t>
      </w:r>
    </w:p>
    <w:p w14:paraId="6570A072" w14:textId="594CE42C" w:rsidR="007B1229" w:rsidRDefault="007B1229" w:rsidP="00A439E5">
      <w:pPr>
        <w:pStyle w:val="ListParagraph"/>
        <w:numPr>
          <w:ilvl w:val="0"/>
          <w:numId w:val="23"/>
        </w:numPr>
      </w:pPr>
      <w:r w:rsidRPr="00421397">
        <w:rPr>
          <w:b/>
          <w:bCs/>
        </w:rPr>
        <w:t xml:space="preserve">Adapt Lake Mead </w:t>
      </w:r>
      <w:r w:rsidR="001E695F" w:rsidRPr="00421397">
        <w:rPr>
          <w:b/>
          <w:bCs/>
        </w:rPr>
        <w:t xml:space="preserve">Releases </w:t>
      </w:r>
      <w:r w:rsidRPr="00421397">
        <w:rPr>
          <w:b/>
          <w:bCs/>
        </w:rPr>
        <w:t xml:space="preserve">to </w:t>
      </w:r>
      <w:r w:rsidR="008105AC">
        <w:rPr>
          <w:b/>
          <w:bCs/>
        </w:rPr>
        <w:t>Flow</w:t>
      </w:r>
      <w:r w:rsidRPr="00421397">
        <w:rPr>
          <w:b/>
          <w:bCs/>
        </w:rPr>
        <w:t>s to Slow Drawdown</w:t>
      </w:r>
      <w:r>
        <w:t xml:space="preserve"> </w:t>
      </w:r>
      <w:r>
        <w:fldChar w:fldCharType="begin"/>
      </w:r>
      <w:r>
        <w:instrText xml:space="preserve"> ADDIN EN.CITE &lt;EndNote&gt;&lt;Cite&gt;&lt;Author&gt;Rosenberg&lt;/Author&gt;&lt;Year&gt;In press&lt;/Year&gt;&lt;RecNum&gt;2796&lt;/RecNum&gt;&lt;DisplayText&gt;(Rosenberg, In press)&lt;/DisplayText&gt;&lt;record&gt;&lt;rec-number&gt;2796&lt;/rec-number&gt;&lt;foreign-keys&gt;&lt;key app="EN" db-id="xxt5ta9pd995dwesap0pdzzp2weaz0w9werf" timestamp="1624166225"&gt;2796&lt;/key&gt;&lt;/foreign-keys&gt;&lt;ref-type name="Journal Article"&gt;17&lt;/ref-type&gt;&lt;contributors&gt;&lt;authors&gt;&lt;author&gt;David E. Rosenberg&lt;/author&gt;&lt;/authors&gt;&lt;/contributors&gt;&lt;titles&gt;&lt;title&gt;Adapt Lake Mead releases to inflow to give managers more flexibility to slow reservoir draw down&lt;/title&gt;&lt;secondary-title&gt;Journal of Water Resources Planning and Management&lt;/secondary-title&gt;&lt;/titles&gt;&lt;periodical&gt;&lt;full-title&gt;Journal of Water Resources Planning and Management&lt;/full-title&gt;&lt;/periodical&gt;&lt;pages&gt;10&lt;/pages&gt;&lt;dates&gt;&lt;year&gt;In press&lt;/year&gt;&lt;/dates&gt;&lt;urls&gt;&lt;related-urls&gt;&lt;url&gt;https://digitalcommons.usu.edu/water_pubs/170/&lt;/url&gt;&lt;/related-urls&gt;&lt;/urls&gt;&lt;/record&gt;&lt;/Cite&gt;&lt;/EndNote&gt;</w:instrText>
      </w:r>
      <w:r>
        <w:fldChar w:fldCharType="separate"/>
      </w:r>
      <w:r>
        <w:rPr>
          <w:noProof/>
        </w:rPr>
        <w:t>(Rosenberg, In press)</w:t>
      </w:r>
      <w:r>
        <w:fldChar w:fldCharType="end"/>
      </w:r>
      <w:r>
        <w:t>(</w:t>
      </w:r>
      <w:hyperlink r:id="rId9" w:history="1">
        <w:r w:rsidRPr="00FF61D5">
          <w:rPr>
            <w:rStyle w:val="Hyperlink"/>
            <w:b/>
            <w:bCs/>
          </w:rPr>
          <w:t>free link</w:t>
        </w:r>
      </w:hyperlink>
      <w:r>
        <w:t>).</w:t>
      </w:r>
      <w:r w:rsidR="001E695F">
        <w:t xml:space="preserve"> This piece focused on Lake Mead</w:t>
      </w:r>
      <w:r w:rsidR="00421397">
        <w:t xml:space="preserve">. A chart </w:t>
      </w:r>
      <w:r w:rsidR="001E695F">
        <w:t xml:space="preserve">identified the </w:t>
      </w:r>
      <w:r w:rsidR="008B74BC">
        <w:t>consumption</w:t>
      </w:r>
      <w:r w:rsidR="001E695F">
        <w:t xml:space="preserve"> to stabilize </w:t>
      </w:r>
      <w:r w:rsidR="008B74BC">
        <w:t xml:space="preserve">Lake </w:t>
      </w:r>
      <w:r w:rsidR="00FE4E64">
        <w:t>Mead</w:t>
      </w:r>
      <w:r w:rsidR="001E695F">
        <w:t xml:space="preserve"> level for</w:t>
      </w:r>
      <w:r w:rsidR="00421397">
        <w:t xml:space="preserve"> different </w:t>
      </w:r>
      <w:r w:rsidR="00B03A36">
        <w:t xml:space="preserve">water </w:t>
      </w:r>
      <w:r w:rsidR="00421397">
        <w:t>elevations and</w:t>
      </w:r>
      <w:r w:rsidR="00187A6F">
        <w:t xml:space="preserve"> reservoir</w:t>
      </w:r>
      <w:r w:rsidR="001E695F">
        <w:t xml:space="preserve"> </w:t>
      </w:r>
      <w:r w:rsidR="008105AC">
        <w:t>inflow</w:t>
      </w:r>
      <w:r w:rsidR="001E695F">
        <w:t xml:space="preserve">s </w:t>
      </w:r>
      <w:r w:rsidR="008B74BC">
        <w:t>down to</w:t>
      </w:r>
      <w:r w:rsidR="001E695F">
        <w:t xml:space="preserve"> </w:t>
      </w:r>
      <w:r w:rsidR="000E3EDE">
        <w:t>7</w:t>
      </w:r>
      <w:r w:rsidR="001E695F">
        <w:t xml:space="preserve"> </w:t>
      </w:r>
      <w:proofErr w:type="spellStart"/>
      <w:r w:rsidR="001E695F">
        <w:t>maf</w:t>
      </w:r>
      <w:proofErr w:type="spellEnd"/>
      <w:r w:rsidR="001E695F">
        <w:t xml:space="preserve"> per year </w:t>
      </w:r>
      <w:r w:rsidR="00421397">
        <w:t>(</w:t>
      </w:r>
      <w:r w:rsidR="008B74BC">
        <w:t xml:space="preserve">Figure 2, </w:t>
      </w:r>
      <w:r w:rsidR="00421397">
        <w:t>thick dashed blue line)</w:t>
      </w:r>
      <w:r w:rsidR="001E695F">
        <w:t xml:space="preserve">. </w:t>
      </w:r>
      <w:r w:rsidR="008B74BC">
        <w:t xml:space="preserve">Combinations of reservoir inflow and consumption below the dashed line in the blue fill area will raise Lake Mead’s level while combinations above the line in the pink and red areas will lower Lake Mead’s level. </w:t>
      </w:r>
      <w:r w:rsidR="00421397">
        <w:t>For example, to stabilize Lake Mead at</w:t>
      </w:r>
      <w:r w:rsidR="008B74BC">
        <w:t xml:space="preserve"> its current elevation of</w:t>
      </w:r>
      <w:r w:rsidR="00421397">
        <w:t xml:space="preserve"> 1,0</w:t>
      </w:r>
      <w:r w:rsidR="008B74BC">
        <w:t>41</w:t>
      </w:r>
      <w:r w:rsidR="00421397">
        <w:t xml:space="preserve"> feet with 8 </w:t>
      </w:r>
      <w:proofErr w:type="spellStart"/>
      <w:r w:rsidR="00421397">
        <w:t>maf</w:t>
      </w:r>
      <w:proofErr w:type="spellEnd"/>
      <w:r w:rsidR="00421397">
        <w:t xml:space="preserve"> of </w:t>
      </w:r>
      <w:r w:rsidR="008B74BC">
        <w:t xml:space="preserve">reservoir </w:t>
      </w:r>
      <w:r w:rsidR="008105AC">
        <w:t>inflow</w:t>
      </w:r>
      <w:r w:rsidR="008B74BC">
        <w:t xml:space="preserve">—corresponding to a Lake Powell release of 7 to 7.4 </w:t>
      </w:r>
      <w:proofErr w:type="spellStart"/>
      <w:r w:rsidR="008B74BC">
        <w:t>maf</w:t>
      </w:r>
      <w:proofErr w:type="spellEnd"/>
      <w:r w:rsidR="008B74BC">
        <w:t xml:space="preserve"> —</w:t>
      </w:r>
      <w:r w:rsidR="00421397">
        <w:lastRenderedPageBreak/>
        <w:t xml:space="preserve">parties conserve </w:t>
      </w:r>
      <w:r w:rsidR="008B74BC">
        <w:t>more than the current</w:t>
      </w:r>
      <w:r w:rsidR="000E3EDE">
        <w:t xml:space="preserve"> Interim Guidelines </w:t>
      </w:r>
      <w:r w:rsidR="00F86588">
        <w:fldChar w:fldCharType="begin"/>
      </w:r>
      <w:r w:rsidR="00F86588">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F86588">
        <w:fldChar w:fldCharType="separate"/>
      </w:r>
      <w:r w:rsidR="00F86588">
        <w:rPr>
          <w:noProof/>
        </w:rPr>
        <w:t>(USBR, 2007)</w:t>
      </w:r>
      <w:r w:rsidR="00F86588">
        <w:fldChar w:fldCharType="end"/>
      </w:r>
      <w:r w:rsidR="008B74BC">
        <w:t xml:space="preserve">, </w:t>
      </w:r>
      <w:r w:rsidR="000E3EDE">
        <w:t>Drought Contingency Plan</w:t>
      </w:r>
      <w:r w:rsidR="00585F85">
        <w:t xml:space="preserve"> </w:t>
      </w:r>
      <w:r w:rsidR="00F86588">
        <w:fldChar w:fldCharType="begin"/>
      </w:r>
      <w:r w:rsidR="00F86588">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F86588">
        <w:fldChar w:fldCharType="separate"/>
      </w:r>
      <w:r w:rsidR="00F86588">
        <w:rPr>
          <w:noProof/>
        </w:rPr>
        <w:t>(USBR, 2019)</w:t>
      </w:r>
      <w:r w:rsidR="00F86588">
        <w:fldChar w:fldCharType="end"/>
      </w:r>
      <w:r w:rsidR="000E3EDE">
        <w:t>,</w:t>
      </w:r>
      <w:r w:rsidR="008B74BC">
        <w:t xml:space="preserve"> and</w:t>
      </w:r>
      <w:r w:rsidR="000E3EDE">
        <w:t xml:space="preserve"> </w:t>
      </w:r>
      <w:r w:rsidR="00421397">
        <w:t>500</w:t>
      </w:r>
      <w:r w:rsidR="000E3EDE">
        <w:t xml:space="preserve"> Plus</w:t>
      </w:r>
      <w:r w:rsidR="00421397">
        <w:t xml:space="preserve"> Plan</w:t>
      </w:r>
      <w:r w:rsidR="00585F85">
        <w:t xml:space="preserve"> </w:t>
      </w:r>
      <w:r w:rsidR="00F86588">
        <w:fldChar w:fldCharType="begin"/>
      </w:r>
      <w:r w:rsidR="00F86588">
        <w:instrText xml:space="preserve"> ADDIN EN.CITE &lt;EndNote&gt;&lt;Cite&gt;&lt;Author&gt;Hager&lt;/Author&gt;&lt;Year&gt;2021&lt;/Year&gt;&lt;RecNum&gt;2865&lt;/RecNum&gt;&lt;DisplayText&gt;(Hager, 2021)&lt;/DisplayText&gt;&lt;record&gt;&lt;rec-number&gt;2865&lt;/rec-number&gt;&lt;foreign-keys&gt;&lt;key app="EN" db-id="xxt5ta9pd995dwesap0pdzzp2weaz0w9werf" timestamp="1651257456"&gt;2865&lt;/key&gt;&lt;/foreign-keys&gt;&lt;ref-type name="Journal Article"&gt;17&lt;/ref-type&gt;&lt;contributors&gt;&lt;authors&gt;&lt;author&gt;Alex Hager&lt;/author&gt;&lt;/authors&gt;&lt;/contributors&gt;&lt;titles&gt;&lt;title&gt;Lower basin states sign deal to put water back in Lake Mead amid dropping levels&lt;/title&gt;&lt;secondary-title&gt;KUNC&lt;/secondary-title&gt;&lt;/titles&gt;&lt;dates&gt;&lt;year&gt;2021&lt;/year&gt;&lt;pub-dates&gt;&lt;date&gt;December 15&lt;/date&gt;&lt;/pub-dates&gt;&lt;/dates&gt;&lt;urls&gt;&lt;related-urls&gt;&lt;url&gt;https://www.kunc.org/environment/2021-12-15/lower-basin-states-sign-deal-to-put-water-back-in-lake-mead-amid-dropping-levels&lt;/url&gt;&lt;/related-urls&gt;&lt;/urls&gt;&lt;/record&gt;&lt;/Cite&gt;&lt;/EndNote&gt;</w:instrText>
      </w:r>
      <w:r w:rsidR="00F86588">
        <w:fldChar w:fldCharType="separate"/>
      </w:r>
      <w:r w:rsidR="00F86588">
        <w:rPr>
          <w:noProof/>
        </w:rPr>
        <w:t>(Hager, 2021)</w:t>
      </w:r>
      <w:r w:rsidR="00F86588">
        <w:fldChar w:fldCharType="end"/>
      </w:r>
      <w:r w:rsidR="008B74BC">
        <w:t>.</w:t>
      </w:r>
      <w:r w:rsidR="00421397">
        <w:t xml:space="preserve"> </w:t>
      </w:r>
      <w:r w:rsidR="00BE21C6" w:rsidRPr="00FD161B">
        <w:rPr>
          <w:b/>
          <w:bCs/>
          <w:noProof/>
        </w:rPr>
        <mc:AlternateContent>
          <mc:Choice Requires="wps">
            <w:drawing>
              <wp:anchor distT="45720" distB="45720" distL="114300" distR="114300" simplePos="0" relativeHeight="251665408" behindDoc="0" locked="0" layoutInCell="1" allowOverlap="0" wp14:anchorId="7161E493" wp14:editId="4514C47A">
                <wp:simplePos x="0" y="0"/>
                <wp:positionH relativeFrom="column">
                  <wp:posOffset>3163570</wp:posOffset>
                </wp:positionH>
                <wp:positionV relativeFrom="paragraph">
                  <wp:posOffset>0</wp:posOffset>
                </wp:positionV>
                <wp:extent cx="2688336" cy="3273552"/>
                <wp:effectExtent l="0" t="0" r="17145" b="22225"/>
                <wp:wrapThrough wrapText="bothSides">
                  <wp:wrapPolygon edited="0">
                    <wp:start x="0" y="0"/>
                    <wp:lineTo x="0" y="21621"/>
                    <wp:lineTo x="21585" y="21621"/>
                    <wp:lineTo x="21585"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8336" cy="3273552"/>
                        </a:xfrm>
                        <a:prstGeom prst="rect">
                          <a:avLst/>
                        </a:prstGeom>
                        <a:solidFill>
                          <a:srgbClr val="FFFFFF"/>
                        </a:solidFill>
                        <a:ln w="9525">
                          <a:solidFill>
                            <a:srgbClr val="000000"/>
                          </a:solidFill>
                          <a:miter lim="800000"/>
                          <a:headEnd/>
                          <a:tailEnd/>
                        </a:ln>
                      </wps:spPr>
                      <wps:txbx>
                        <w:txbxContent>
                          <w:p w14:paraId="49E06444" w14:textId="15E76B3F" w:rsidR="00BE21C6" w:rsidRDefault="008B74BC" w:rsidP="00BE21C6">
                            <w:r w:rsidRPr="00ED2425">
                              <w:rPr>
                                <w:noProof/>
                              </w:rPr>
                              <w:drawing>
                                <wp:inline distT="0" distB="0" distL="0" distR="0" wp14:anchorId="6A09FD11" wp14:editId="1C3E6353">
                                  <wp:extent cx="2495550" cy="2616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5550" cy="2616835"/>
                                          </a:xfrm>
                                          <a:prstGeom prst="rect">
                                            <a:avLst/>
                                          </a:prstGeom>
                                        </pic:spPr>
                                      </pic:pic>
                                    </a:graphicData>
                                  </a:graphic>
                                </wp:inline>
                              </w:drawing>
                            </w:r>
                          </w:p>
                          <w:p w14:paraId="407354E0" w14:textId="08E40B12" w:rsidR="00BE21C6" w:rsidRPr="00FD161B" w:rsidRDefault="00BE21C6" w:rsidP="00BE21C6">
                            <w:pPr>
                              <w:rPr>
                                <w:b/>
                                <w:bCs/>
                              </w:rPr>
                            </w:pPr>
                            <w:r w:rsidRPr="00FD161B">
                              <w:rPr>
                                <w:b/>
                                <w:bCs/>
                              </w:rPr>
                              <w:t xml:space="preserve">Figure </w:t>
                            </w:r>
                            <w:r w:rsidR="008B74BC">
                              <w:rPr>
                                <w:b/>
                                <w:bCs/>
                              </w:rPr>
                              <w:t>2</w:t>
                            </w:r>
                            <w:r w:rsidRPr="00FD161B">
                              <w:rPr>
                                <w:b/>
                                <w:bCs/>
                              </w:rPr>
                              <w:t xml:space="preserve">. </w:t>
                            </w:r>
                            <w:r w:rsidR="008B74BC">
                              <w:rPr>
                                <w:b/>
                                <w:bCs/>
                              </w:rPr>
                              <w:t>Consumption</w:t>
                            </w:r>
                            <w:r>
                              <w:rPr>
                                <w:b/>
                                <w:bCs/>
                              </w:rPr>
                              <w:t xml:space="preserve"> to stabilize </w:t>
                            </w:r>
                            <w:r w:rsidR="008B74BC">
                              <w:rPr>
                                <w:b/>
                                <w:bCs/>
                              </w:rPr>
                              <w:t xml:space="preserve">Lake Mead </w:t>
                            </w:r>
                            <w:r>
                              <w:rPr>
                                <w:b/>
                                <w:bCs/>
                              </w:rPr>
                              <w:t>at elevation 1,0</w:t>
                            </w:r>
                            <w:r w:rsidR="008B74BC">
                              <w:rPr>
                                <w:b/>
                                <w:bCs/>
                              </w:rPr>
                              <w:t>41</w:t>
                            </w:r>
                            <w:r>
                              <w:rPr>
                                <w:b/>
                                <w:bCs/>
                              </w:rPr>
                              <w:t xml:space="preserve"> feet for different </w:t>
                            </w:r>
                            <w:r w:rsidR="008B74BC">
                              <w:rPr>
                                <w:b/>
                                <w:bCs/>
                              </w:rPr>
                              <w:t>reservoir inflows.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1E493" id="_x0000_s1027" type="#_x0000_t202" style="position:absolute;left:0;text-align:left;margin-left:249.1pt;margin-top:0;width:211.7pt;height:257.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" o:allowoverlap="f">
                <v:textbox>
                  <w:txbxContent>
                    <w:p w14:paraId="49E06444" w14:textId="15E76B3F" w:rsidR="00BE21C6" w:rsidRDefault="008B74BC" w:rsidP="00BE21C6">
                      <w:r w:rsidRPr="00ED2425">
                        <w:rPr>
                          <w:noProof/>
                        </w:rPr>
                        <w:drawing>
                          <wp:inline distT="0" distB="0" distL="0" distR="0" wp14:anchorId="6A09FD11" wp14:editId="1C3E6353">
                            <wp:extent cx="2495550" cy="2616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95550" cy="2616835"/>
                                    </a:xfrm>
                                    <a:prstGeom prst="rect">
                                      <a:avLst/>
                                    </a:prstGeom>
                                  </pic:spPr>
                                </pic:pic>
                              </a:graphicData>
                            </a:graphic>
                          </wp:inline>
                        </w:drawing>
                      </w:r>
                    </w:p>
                    <w:p w14:paraId="407354E0" w14:textId="08E40B12" w:rsidR="00BE21C6" w:rsidRPr="00FD161B" w:rsidRDefault="00BE21C6" w:rsidP="00BE21C6">
                      <w:pPr>
                        <w:rPr>
                          <w:b/>
                          <w:bCs/>
                        </w:rPr>
                      </w:pPr>
                      <w:r w:rsidRPr="00FD161B">
                        <w:rPr>
                          <w:b/>
                          <w:bCs/>
                        </w:rPr>
                        <w:t xml:space="preserve">Figure </w:t>
                      </w:r>
                      <w:r w:rsidR="008B74BC">
                        <w:rPr>
                          <w:b/>
                          <w:bCs/>
                        </w:rPr>
                        <w:t>2</w:t>
                      </w:r>
                      <w:r w:rsidRPr="00FD161B">
                        <w:rPr>
                          <w:b/>
                          <w:bCs/>
                        </w:rPr>
                        <w:t xml:space="preserve">. </w:t>
                      </w:r>
                      <w:r w:rsidR="008B74BC">
                        <w:rPr>
                          <w:b/>
                          <w:bCs/>
                        </w:rPr>
                        <w:t>Consumption</w:t>
                      </w:r>
                      <w:r>
                        <w:rPr>
                          <w:b/>
                          <w:bCs/>
                        </w:rPr>
                        <w:t xml:space="preserve"> to stabilize </w:t>
                      </w:r>
                      <w:r w:rsidR="008B74BC">
                        <w:rPr>
                          <w:b/>
                          <w:bCs/>
                        </w:rPr>
                        <w:t xml:space="preserve">Lake Mead </w:t>
                      </w:r>
                      <w:r>
                        <w:rPr>
                          <w:b/>
                          <w:bCs/>
                        </w:rPr>
                        <w:t>at elevation 1,0</w:t>
                      </w:r>
                      <w:r w:rsidR="008B74BC">
                        <w:rPr>
                          <w:b/>
                          <w:bCs/>
                        </w:rPr>
                        <w:t>41</w:t>
                      </w:r>
                      <w:r>
                        <w:rPr>
                          <w:b/>
                          <w:bCs/>
                        </w:rPr>
                        <w:t xml:space="preserve"> feet for different </w:t>
                      </w:r>
                      <w:r w:rsidR="008B74BC">
                        <w:rPr>
                          <w:b/>
                          <w:bCs/>
                        </w:rPr>
                        <w:t>reservoir inflows.</w:t>
                      </w:r>
                    </w:p>
                  </w:txbxContent>
                </v:textbox>
                <w10:wrap type="through"/>
              </v:shape>
            </w:pict>
          </mc:Fallback>
        </mc:AlternateContent>
      </w:r>
      <w:r w:rsidR="00633EF9">
        <w:t>Th</w:t>
      </w:r>
      <w:r w:rsidR="00F86588">
        <w:t>e</w:t>
      </w:r>
      <w:r w:rsidR="00633EF9">
        <w:t xml:space="preserve"> work suggested two methods to split reductions among parties: a) parties negotiate, or b) </w:t>
      </w:r>
      <w:r w:rsidR="00B03A36">
        <w:t>c</w:t>
      </w:r>
      <w:r w:rsidR="00E82800">
        <w:t>onvert</w:t>
      </w:r>
      <w:r w:rsidR="00B03A36">
        <w:t xml:space="preserve"> historical allocations and </w:t>
      </w:r>
      <w:r w:rsidR="00F86588">
        <w:t xml:space="preserve">mandatory </w:t>
      </w:r>
      <w:r w:rsidR="00B03A36">
        <w:t>reductions</w:t>
      </w:r>
      <w:r w:rsidR="00E82800">
        <w:t xml:space="preserve"> </w:t>
      </w:r>
      <w:r w:rsidR="00633EF9">
        <w:t xml:space="preserve">into percent shares </w:t>
      </w:r>
      <w:r w:rsidR="00E913DB">
        <w:t>similar to how</w:t>
      </w:r>
      <w:r w:rsidR="00F86588">
        <w:t xml:space="preserve"> </w:t>
      </w:r>
      <w:r w:rsidR="00633EF9">
        <w:t xml:space="preserve">the Upper Basin states split </w:t>
      </w:r>
      <w:r w:rsidR="008105AC">
        <w:t>flow</w:t>
      </w:r>
      <w:r w:rsidR="00633EF9">
        <w:t xml:space="preserve"> by their compact </w:t>
      </w:r>
      <w:r w:rsidR="00E82800">
        <w:fldChar w:fldCharType="begin"/>
      </w:r>
      <w:r w:rsidR="00E82800">
        <w:instrText xml:space="preserve"> ADDIN EN.CITE &lt;EndNote&gt;&lt;Cite&gt;&lt;Author&gt;Carson&lt;/Author&gt;&lt;Year&gt;1948&lt;/Year&gt;&lt;RecNum&gt;2817&lt;/RecNum&gt;&lt;DisplayText&gt;(Carson et al., 1948)&lt;/DisplayText&gt;&lt;record&gt;&lt;rec-number&gt;2817&lt;/rec-number&gt;&lt;foreign-keys&gt;&lt;key app="EN" db-id="xxt5ta9pd995dwesap0pdzzp2weaz0w9werf" timestamp="1631055497"&gt;2817&lt;/key&gt;&lt;/foreign-keys&gt;&lt;ref-type name="Web Page"&gt;12&lt;/ref-type&gt;&lt;contributors&gt;&lt;authors&gt;&lt;author&gt;Charles A Carson&lt;/author&gt;&lt;author&gt;Clifford H. Stone&lt;/author&gt;&lt;author&gt;Fred E. Wilson&lt;/author&gt;&lt;author&gt;Edward H. Watson&lt;/author&gt;&lt;author&gt;L. C. Bishop&lt;/author&gt;&lt;/authors&gt;&lt;/contributors&gt;&lt;titles&gt;&lt;title&gt;Upper Colorado River Basin Compact&lt;/title&gt;&lt;/titles&gt;&lt;volume&gt;2021&lt;/volume&gt;&lt;number&gt;September 7&lt;/number&gt;&lt;dates&gt;&lt;year&gt;1948&lt;/year&gt;&lt;/dates&gt;&lt;publisher&gt;U.S. Bureau of Reclamation&lt;/publisher&gt;&lt;urls&gt;&lt;related-urls&gt;&lt;url&gt;https://www.usbr.gov/lc/region/g1000/pdfiles/ucbsnact.pdf&lt;/url&gt;&lt;/related-urls&gt;&lt;/urls&gt;&lt;/record&gt;&lt;/Cite&gt;&lt;/EndNote&gt;</w:instrText>
      </w:r>
      <w:r w:rsidR="00E82800">
        <w:fldChar w:fldCharType="separate"/>
      </w:r>
      <w:r w:rsidR="00E82800">
        <w:rPr>
          <w:noProof/>
        </w:rPr>
        <w:t>(Carson et al., 1948)</w:t>
      </w:r>
      <w:r w:rsidR="00E82800">
        <w:fldChar w:fldCharType="end"/>
      </w:r>
      <w:r w:rsidR="00633EF9">
        <w:t>.</w:t>
      </w:r>
    </w:p>
    <w:p w14:paraId="3504DD5D" w14:textId="09B50B30" w:rsidR="00633EF9" w:rsidRDefault="00633EF9" w:rsidP="00633EF9">
      <w:pPr>
        <w:pStyle w:val="ListParagraph"/>
      </w:pPr>
    </w:p>
    <w:p w14:paraId="5D1D5A04" w14:textId="494F715E" w:rsidR="002B4310" w:rsidRDefault="00633EF9" w:rsidP="00A439E5">
      <w:pPr>
        <w:pStyle w:val="ListParagraph"/>
        <w:numPr>
          <w:ilvl w:val="0"/>
          <w:numId w:val="23"/>
        </w:numPr>
      </w:pPr>
      <w:r w:rsidRPr="00275CEE">
        <w:rPr>
          <w:b/>
          <w:bCs/>
        </w:rPr>
        <w:t>Colorado River Basin Account</w:t>
      </w:r>
      <w:r w:rsidR="000F162A">
        <w:rPr>
          <w:b/>
          <w:bCs/>
        </w:rPr>
        <w:t>s</w:t>
      </w:r>
      <w:r>
        <w:t xml:space="preserve"> </w:t>
      </w:r>
      <w:r w:rsidR="00E82800">
        <w:fldChar w:fldCharType="begin"/>
      </w:r>
      <w:r w:rsidR="00F86588">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adaptive operations&lt;/title&gt;&lt;/titles&gt;&lt;dates&gt;&lt;year&gt;2022&lt;/year&gt;&lt;/dates&gt;&lt;publisher&gt;Hydroshare.org&lt;/publisher&gt;&lt;urls&gt;&lt;related-urls&gt;&lt;url&gt;https://doi.org/10.4211/hs.e0cbe52ad4524c07bb5b7ff8c373a343&lt;/url&gt;&lt;/related-urls&gt;&lt;/urls&gt;&lt;electronic-resource-num&gt;https://doi.org/10.4211/hs.9402805ae48245b7b0474c7d32440cd7&lt;/electronic-resource-num&gt;&lt;remote-database-provider&gt;Hydroshare.org&lt;/remote-database-provider&gt;&lt;/record&gt;&lt;/Cite&gt;&lt;/EndNote&gt;</w:instrText>
      </w:r>
      <w:r w:rsidR="00E82800">
        <w:fldChar w:fldCharType="separate"/>
      </w:r>
      <w:r w:rsidR="00E82800">
        <w:rPr>
          <w:noProof/>
        </w:rPr>
        <w:t>(Rosenberg, 2022)</w:t>
      </w:r>
      <w:r w:rsidR="00E82800">
        <w:fldChar w:fldCharType="end"/>
      </w:r>
      <w:r w:rsidR="0085319F">
        <w:t>(</w:t>
      </w:r>
      <w:hyperlink r:id="rId12" w:history="1">
        <w:r w:rsidR="00B03A36" w:rsidRPr="0075182C">
          <w:rPr>
            <w:rStyle w:val="Hyperlink"/>
            <w:b/>
            <w:bCs/>
          </w:rPr>
          <w:t>free l</w:t>
        </w:r>
        <w:r w:rsidR="0085319F" w:rsidRPr="0075182C">
          <w:rPr>
            <w:rStyle w:val="Hyperlink"/>
            <w:b/>
            <w:bCs/>
          </w:rPr>
          <w:t xml:space="preserve">ink to </w:t>
        </w:r>
        <w:r w:rsidR="008105AC" w:rsidRPr="0075182C">
          <w:rPr>
            <w:rStyle w:val="Hyperlink"/>
            <w:b/>
            <w:bCs/>
          </w:rPr>
          <w:t>exercise</w:t>
        </w:r>
      </w:hyperlink>
      <w:r w:rsidR="004445A8" w:rsidRPr="0075182C">
        <w:rPr>
          <w:rStyle w:val="Hyperlink"/>
          <w:b/>
          <w:bCs/>
        </w:rPr>
        <w:t xml:space="preserve"> on </w:t>
      </w:r>
      <w:proofErr w:type="spellStart"/>
      <w:r w:rsidR="004445A8" w:rsidRPr="0075182C">
        <w:rPr>
          <w:rStyle w:val="Hyperlink"/>
          <w:b/>
          <w:bCs/>
        </w:rPr>
        <w:t>HydroShare</w:t>
      </w:r>
      <w:proofErr w:type="spellEnd"/>
      <w:r w:rsidR="0085319F">
        <w:t>).</w:t>
      </w:r>
      <w:r w:rsidR="00E82800">
        <w:t xml:space="preserve"> In this </w:t>
      </w:r>
      <w:r w:rsidR="00CC1518">
        <w:t>exercise</w:t>
      </w:r>
      <w:r w:rsidR="00E82800">
        <w:t xml:space="preserve">, </w:t>
      </w:r>
      <w:r w:rsidR="00BC2E9E">
        <w:t>26 Colorado River managers and experts</w:t>
      </w:r>
      <w:r w:rsidR="009D44DC">
        <w:t xml:space="preserve"> chose the Lake Powell natural </w:t>
      </w:r>
      <w:r w:rsidR="008105AC">
        <w:t>in</w:t>
      </w:r>
      <w:r w:rsidR="009D44DC">
        <w:t xml:space="preserve">flow each year </w:t>
      </w:r>
      <w:r w:rsidR="00CC1518">
        <w:t>(Figure 3)</w:t>
      </w:r>
      <w:r w:rsidR="003178CB">
        <w:t>.</w:t>
      </w:r>
      <w:r w:rsidR="003A459B">
        <w:t xml:space="preserve"> </w:t>
      </w:r>
      <w:r w:rsidR="00E913DB">
        <w:t>A</w:t>
      </w:r>
      <w:r w:rsidR="003A459B">
        <w:t xml:space="preserve"> Google Sheet</w:t>
      </w:r>
      <w:r w:rsidR="00E913DB">
        <w:t xml:space="preserve"> divided </w:t>
      </w:r>
      <w:r w:rsidR="00187A6F">
        <w:t>the in</w:t>
      </w:r>
      <w:r w:rsidR="008105AC">
        <w:t>flow</w:t>
      </w:r>
      <w:r w:rsidR="00E913DB">
        <w:t xml:space="preserve"> </w:t>
      </w:r>
      <w:r w:rsidR="00BC2E9E">
        <w:t>into</w:t>
      </w:r>
      <w:r w:rsidR="00B03A36">
        <w:t xml:space="preserve"> accounts</w:t>
      </w:r>
      <w:r w:rsidR="00CC1518">
        <w:t xml:space="preserve"> within a combined Lake Powell-Lake Mead system </w:t>
      </w:r>
      <w:r w:rsidR="00BC2E9E">
        <w:t>by following existing operations as best as possible</w:t>
      </w:r>
      <w:r w:rsidR="00B03A36">
        <w:t xml:space="preserve">. </w:t>
      </w:r>
      <w:r w:rsidR="00CC1518">
        <w:t xml:space="preserve">There were accounts for the Upper Basin, Lower Basin, Mexico, Colorado River Delta, First Nations, and a shared reserve. </w:t>
      </w:r>
      <w:r w:rsidR="00B03A36">
        <w:t xml:space="preserve">The shared reserve started with </w:t>
      </w:r>
      <w:r w:rsidR="008105AC">
        <w:t>all</w:t>
      </w:r>
      <w:r w:rsidR="00B03A36">
        <w:t xml:space="preserve"> </w:t>
      </w:r>
      <w:r w:rsidR="00E913DB">
        <w:t xml:space="preserve">combined </w:t>
      </w:r>
      <w:r w:rsidR="00B03A36">
        <w:t>active storage below Lake Powell and Lake Mead critical elevations of 3,525 and 1,020 feet. Next,</w:t>
      </w:r>
      <w:r w:rsidR="003178CB">
        <w:t xml:space="preserve"> </w:t>
      </w:r>
      <w:r w:rsidR="00B03A36">
        <w:t xml:space="preserve">participants </w:t>
      </w:r>
      <w:r w:rsidR="00D912C8">
        <w:t>enter</w:t>
      </w:r>
      <w:r w:rsidR="00CC1518">
        <w:t>ed</w:t>
      </w:r>
      <w:r w:rsidR="00B03A36">
        <w:t xml:space="preserve"> </w:t>
      </w:r>
      <w:r w:rsidR="009D44DC">
        <w:t xml:space="preserve">how much water to </w:t>
      </w:r>
      <w:r w:rsidR="00E82800">
        <w:t>consum</w:t>
      </w:r>
      <w:r w:rsidR="009D44DC">
        <w:t>e</w:t>
      </w:r>
      <w:r w:rsidR="00E82800">
        <w:t>, sav</w:t>
      </w:r>
      <w:r w:rsidR="009D44DC">
        <w:t>e</w:t>
      </w:r>
      <w:r w:rsidR="00E82800">
        <w:t xml:space="preserve">, </w:t>
      </w:r>
      <w:r w:rsidR="009D44DC">
        <w:t xml:space="preserve">or </w:t>
      </w:r>
      <w:r w:rsidR="00E82800">
        <w:t>trad</w:t>
      </w:r>
      <w:r w:rsidR="009D44DC">
        <w:t>e</w:t>
      </w:r>
      <w:r w:rsidR="00BC2E9E">
        <w:t xml:space="preserve"> that year</w:t>
      </w:r>
      <w:r w:rsidR="00CC1518">
        <w:t>. The Google Sheet updated account balances.</w:t>
      </w:r>
      <w:r w:rsidR="00BC2E9E">
        <w:t xml:space="preserve"> </w:t>
      </w:r>
      <w:r w:rsidR="003A459B">
        <w:t>Then,</w:t>
      </w:r>
      <w:r w:rsidR="009D44DC">
        <w:t xml:space="preserve"> participants </w:t>
      </w:r>
      <w:r w:rsidR="003A459B">
        <w:t xml:space="preserve">split the remaining combined storage between Lake Powell and Lake Mead by </w:t>
      </w:r>
      <w:r w:rsidR="00D912C8">
        <w:t>observing</w:t>
      </w:r>
      <w:r w:rsidR="003A459B">
        <w:t xml:space="preserve"> </w:t>
      </w:r>
      <w:r w:rsidR="00BC2E9E">
        <w:t xml:space="preserve">cells </w:t>
      </w:r>
      <w:r w:rsidR="003A459B">
        <w:t xml:space="preserve">that </w:t>
      </w:r>
      <w:r w:rsidR="00D912C8">
        <w:t>reported</w:t>
      </w:r>
      <w:r w:rsidR="00BC2E9E">
        <w:t xml:space="preserve"> reservoir elevations, Lake Powell release temperature, and suitability for endangered, native fish of the Grand Canyon</w:t>
      </w:r>
      <w:r w:rsidR="009D44DC">
        <w:t>.</w:t>
      </w:r>
      <w:r w:rsidR="00BC2E9E">
        <w:t xml:space="preserve"> </w:t>
      </w:r>
      <w:r w:rsidR="00E913DB">
        <w:t>As</w:t>
      </w:r>
      <w:r w:rsidR="00D912C8">
        <w:t xml:space="preserve"> context, </w:t>
      </w:r>
      <w:r w:rsidR="008105AC">
        <w:t>existing operations</w:t>
      </w:r>
      <w:r w:rsidR="00D912C8">
        <w:t xml:space="preserve"> seek a 50%/50% split (equalization). </w:t>
      </w:r>
      <w:r w:rsidR="00E913DB">
        <w:t>P</w:t>
      </w:r>
      <w:r w:rsidR="00BC2E9E">
        <w:t>articipants</w:t>
      </w:r>
      <w:r w:rsidR="00CC1518">
        <w:t xml:space="preserve"> carried account balances</w:t>
      </w:r>
      <w:r w:rsidR="00BC2E9E">
        <w:t xml:space="preserve"> to the next year. At the end, participants </w:t>
      </w:r>
      <w:r w:rsidR="003A459B">
        <w:t>shared</w:t>
      </w:r>
      <w:r w:rsidR="00BC2E9E">
        <w:t xml:space="preserve"> what they liked and what to improve.</w:t>
      </w:r>
    </w:p>
    <w:p w14:paraId="4A132691" w14:textId="7886D7D8" w:rsidR="002B4310" w:rsidRDefault="002B4310" w:rsidP="002B4310">
      <w:pPr>
        <w:pStyle w:val="ListParagraph"/>
      </w:pPr>
    </w:p>
    <w:p w14:paraId="17E22662" w14:textId="4ADCF0D3" w:rsidR="002B4310" w:rsidRDefault="00CC1518" w:rsidP="000F4BE9">
      <w:pPr>
        <w:ind w:left="720"/>
      </w:pPr>
      <w:r w:rsidRPr="00FD161B">
        <w:rPr>
          <w:b/>
          <w:bCs/>
          <w:noProof/>
        </w:rPr>
        <mc:AlternateContent>
          <mc:Choice Requires="wps">
            <w:drawing>
              <wp:anchor distT="45720" distB="45720" distL="114300" distR="114300" simplePos="0" relativeHeight="251659264" behindDoc="0" locked="0" layoutInCell="1" allowOverlap="1" wp14:anchorId="1A7CC990" wp14:editId="726F4A45">
                <wp:simplePos x="0" y="0"/>
                <wp:positionH relativeFrom="column">
                  <wp:posOffset>2778651</wp:posOffset>
                </wp:positionH>
                <wp:positionV relativeFrom="paragraph">
                  <wp:posOffset>75261</wp:posOffset>
                </wp:positionV>
                <wp:extent cx="3086100" cy="2341245"/>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341245"/>
                        </a:xfrm>
                        <a:prstGeom prst="rect">
                          <a:avLst/>
                        </a:prstGeom>
                        <a:solidFill>
                          <a:srgbClr val="FFFFFF"/>
                        </a:solidFill>
                        <a:ln w="9525">
                          <a:solidFill>
                            <a:srgbClr val="000000"/>
                          </a:solidFill>
                          <a:miter lim="800000"/>
                          <a:headEnd/>
                          <a:tailEnd/>
                        </a:ln>
                      </wps:spPr>
                      <wps:txbx>
                        <w:txbxContent>
                          <w:p w14:paraId="74C4793D" w14:textId="77777777" w:rsidR="00FD161B" w:rsidRDefault="00FD161B" w:rsidP="00FD161B">
                            <w:r w:rsidRPr="00F279AD">
                              <w:rPr>
                                <w:noProof/>
                              </w:rPr>
                              <w:drawing>
                                <wp:inline distT="0" distB="0" distL="0" distR="0" wp14:anchorId="39E886A4" wp14:editId="28822070">
                                  <wp:extent cx="2708275" cy="18548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8275" cy="1854849"/>
                                          </a:xfrm>
                                          <a:prstGeom prst="rect">
                                            <a:avLst/>
                                          </a:prstGeom>
                                        </pic:spPr>
                                      </pic:pic>
                                    </a:graphicData>
                                  </a:graphic>
                                </wp:inline>
                              </w:drawing>
                            </w:r>
                          </w:p>
                          <w:p w14:paraId="306BFD7E" w14:textId="2BB8B98C" w:rsidR="00FD161B" w:rsidRPr="00FD161B" w:rsidRDefault="00FD161B" w:rsidP="00FD161B">
                            <w:pPr>
                              <w:rPr>
                                <w:b/>
                                <w:bCs/>
                              </w:rPr>
                            </w:pPr>
                            <w:r w:rsidRPr="00FD161B">
                              <w:rPr>
                                <w:b/>
                                <w:bCs/>
                              </w:rPr>
                              <w:t xml:space="preserve">Figure </w:t>
                            </w:r>
                            <w:r w:rsidR="00CC1518">
                              <w:rPr>
                                <w:b/>
                                <w:bCs/>
                              </w:rPr>
                              <w:t>3</w:t>
                            </w:r>
                            <w:r w:rsidRPr="00FD161B">
                              <w:rPr>
                                <w:b/>
                                <w:bCs/>
                              </w:rPr>
                              <w:t xml:space="preserve">. Participant choices for </w:t>
                            </w:r>
                            <w:r w:rsidR="008105AC">
                              <w:rPr>
                                <w:b/>
                                <w:bCs/>
                              </w:rPr>
                              <w:t>flow</w:t>
                            </w:r>
                            <w:r w:rsidRPr="00FD161B">
                              <w:rPr>
                                <w:b/>
                                <w:bCs/>
                              </w:rPr>
                              <w:t xml:space="preserve"> in basin accounts</w:t>
                            </w:r>
                            <w:r>
                              <w:t xml:space="preserve"> </w:t>
                            </w:r>
                            <w:r w:rsidRPr="00FD161B">
                              <w:rPr>
                                <w:b/>
                                <w:bCs/>
                              </w:rPr>
                              <w:t>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CC990" id="_x0000_s1028" type="#_x0000_t202" style="position:absolute;left:0;text-align:left;margin-left:218.8pt;margin-top:5.95pt;width:243pt;height:184.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">
                <v:textbox>
                  <w:txbxContent>
                    <w:p w14:paraId="74C4793D" w14:textId="77777777" w:rsidR="00FD161B" w:rsidRDefault="00FD161B" w:rsidP="00FD161B">
                      <w:r w:rsidRPr="00F279AD">
                        <w:rPr>
                          <w:noProof/>
                        </w:rPr>
                        <w:drawing>
                          <wp:inline distT="0" distB="0" distL="0" distR="0" wp14:anchorId="39E886A4" wp14:editId="28822070">
                            <wp:extent cx="2708275" cy="18548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8275" cy="1854849"/>
                                    </a:xfrm>
                                    <a:prstGeom prst="rect">
                                      <a:avLst/>
                                    </a:prstGeom>
                                  </pic:spPr>
                                </pic:pic>
                              </a:graphicData>
                            </a:graphic>
                          </wp:inline>
                        </w:drawing>
                      </w:r>
                    </w:p>
                    <w:p w14:paraId="306BFD7E" w14:textId="2BB8B98C" w:rsidR="00FD161B" w:rsidRPr="00FD161B" w:rsidRDefault="00FD161B" w:rsidP="00FD161B">
                      <w:pPr>
                        <w:rPr>
                          <w:b/>
                          <w:bCs/>
                        </w:rPr>
                      </w:pPr>
                      <w:r w:rsidRPr="00FD161B">
                        <w:rPr>
                          <w:b/>
                          <w:bCs/>
                        </w:rPr>
                        <w:t xml:space="preserve">Figure </w:t>
                      </w:r>
                      <w:r w:rsidR="00CC1518">
                        <w:rPr>
                          <w:b/>
                          <w:bCs/>
                        </w:rPr>
                        <w:t>3</w:t>
                      </w:r>
                      <w:r w:rsidRPr="00FD161B">
                        <w:rPr>
                          <w:b/>
                          <w:bCs/>
                        </w:rPr>
                        <w:t xml:space="preserve">. Participant choices for </w:t>
                      </w:r>
                      <w:r w:rsidR="008105AC">
                        <w:rPr>
                          <w:b/>
                          <w:bCs/>
                        </w:rPr>
                        <w:t>flow</w:t>
                      </w:r>
                      <w:r w:rsidRPr="00FD161B">
                        <w:rPr>
                          <w:b/>
                          <w:bCs/>
                        </w:rPr>
                        <w:t xml:space="preserve"> in basin accounts</w:t>
                      </w:r>
                      <w:r>
                        <w:t xml:space="preserve"> </w:t>
                      </w:r>
                      <w:r w:rsidRPr="00FD161B">
                        <w:rPr>
                          <w:b/>
                          <w:bCs/>
                        </w:rPr>
                        <w:t>activity</w:t>
                      </w:r>
                    </w:p>
                  </w:txbxContent>
                </v:textbox>
                <w10:wrap type="square"/>
              </v:shape>
            </w:pict>
          </mc:Fallback>
        </mc:AlternateContent>
      </w:r>
      <w:r w:rsidR="002B4310">
        <w:t xml:space="preserve">The activity was </w:t>
      </w:r>
      <w:r w:rsidR="00BC2E9E">
        <w:t>completed</w:t>
      </w:r>
      <w:r w:rsidR="002B4310">
        <w:t xml:space="preserve"> </w:t>
      </w:r>
      <w:r w:rsidR="003A459B">
        <w:t>in 14 sessions</w:t>
      </w:r>
      <w:r w:rsidR="002B4310">
        <w:t xml:space="preserve"> from April</w:t>
      </w:r>
      <w:r w:rsidR="009D44DC">
        <w:t xml:space="preserve"> </w:t>
      </w:r>
      <w:r w:rsidR="002B4310">
        <w:t xml:space="preserve">to November, 2021. </w:t>
      </w:r>
      <w:r w:rsidR="003A459B">
        <w:t>F</w:t>
      </w:r>
      <w:r w:rsidR="002B4310">
        <w:t>eedback</w:t>
      </w:r>
      <w:r w:rsidR="00BC2E9E">
        <w:t xml:space="preserve"> included </w:t>
      </w:r>
      <w:r w:rsidR="003A459B">
        <w:t>“</w:t>
      </w:r>
      <w:r w:rsidR="003A459B" w:rsidRPr="008105AC">
        <w:rPr>
          <w:color w:val="0070C0"/>
        </w:rPr>
        <w:t>I see myself in the model</w:t>
      </w:r>
      <w:r w:rsidR="003A459B">
        <w:t>,” “</w:t>
      </w:r>
      <w:r w:rsidR="00EB724B" w:rsidRPr="008105AC">
        <w:rPr>
          <w:color w:val="0070C0"/>
        </w:rPr>
        <w:t>F</w:t>
      </w:r>
      <w:r w:rsidR="003A459B" w:rsidRPr="008105AC">
        <w:rPr>
          <w:color w:val="0070C0"/>
        </w:rPr>
        <w:t>un</w:t>
      </w:r>
      <w:r w:rsidR="003A459B">
        <w:t>”, “</w:t>
      </w:r>
      <w:r w:rsidR="003A459B" w:rsidRPr="008105AC">
        <w:rPr>
          <w:color w:val="0070C0"/>
        </w:rPr>
        <w:t>Made me think about equity</w:t>
      </w:r>
      <w:r w:rsidR="003A459B">
        <w:t>,” “</w:t>
      </w:r>
      <w:r w:rsidR="003A459B" w:rsidRPr="008105AC">
        <w:rPr>
          <w:color w:val="0070C0"/>
        </w:rPr>
        <w:t>Share with others</w:t>
      </w:r>
      <w:r w:rsidR="003A459B">
        <w:t>,” and “</w:t>
      </w:r>
      <w:r w:rsidR="00EB724B" w:rsidRPr="008105AC">
        <w:rPr>
          <w:color w:val="0070C0"/>
        </w:rPr>
        <w:t>A</w:t>
      </w:r>
      <w:r w:rsidR="003A459B" w:rsidRPr="008105AC">
        <w:rPr>
          <w:color w:val="0070C0"/>
        </w:rPr>
        <w:t xml:space="preserve"> huge leap from management today</w:t>
      </w:r>
      <w:r w:rsidR="003A459B">
        <w:t xml:space="preserve">.” </w:t>
      </w:r>
      <w:r w:rsidR="00187A6F">
        <w:t>Discussions</w:t>
      </w:r>
      <w:r w:rsidR="00187A6F" w:rsidRPr="00976EF3">
        <w:t xml:space="preserve"> </w:t>
      </w:r>
      <w:r w:rsidR="00187A6F">
        <w:t>generated</w:t>
      </w:r>
      <w:r w:rsidR="00187A6F" w:rsidRPr="00976EF3">
        <w:t xml:space="preserve"> lots of </w:t>
      </w:r>
      <w:r w:rsidR="00187A6F">
        <w:t>talk</w:t>
      </w:r>
      <w:r w:rsidR="00187A6F" w:rsidRPr="00976EF3">
        <w:t xml:space="preserve"> about equity, sustainability, </w:t>
      </w:r>
      <w:r w:rsidR="00187A6F">
        <w:t>hydropower generation</w:t>
      </w:r>
      <w:r w:rsidR="00187A6F" w:rsidRPr="00976EF3">
        <w:t xml:space="preserve">, </w:t>
      </w:r>
      <w:r w:rsidR="00187A6F">
        <w:t xml:space="preserve">water prices, </w:t>
      </w:r>
      <w:r w:rsidR="00187A6F" w:rsidRPr="00976EF3">
        <w:t>protecting endangered, native fish, and other issues.</w:t>
      </w:r>
      <w:r w:rsidR="00F26F10">
        <w:t xml:space="preserve"> </w:t>
      </w:r>
      <w:r w:rsidR="000F4BE9" w:rsidRPr="000F4BE9">
        <w:rPr>
          <w:b/>
          <w:bCs/>
        </w:rPr>
        <w:t xml:space="preserve">I invite you to virtually manage a </w:t>
      </w:r>
      <w:r w:rsidR="000F4BE9" w:rsidRPr="000F4BE9">
        <w:rPr>
          <w:b/>
          <w:bCs/>
        </w:rPr>
        <w:lastRenderedPageBreak/>
        <w:t>Colorado River basin account.</w:t>
      </w:r>
      <w:r w:rsidR="000F4BE9" w:rsidRPr="00976EF3">
        <w:t xml:space="preserve"> Open the </w:t>
      </w:r>
      <w:hyperlink r:id="rId15" w:history="1">
        <w:r w:rsidR="000F4BE9" w:rsidRPr="00976EF3">
          <w:rPr>
            <w:rStyle w:val="Hyperlink"/>
          </w:rPr>
          <w:t>repository</w:t>
        </w:r>
      </w:hyperlink>
      <w:r w:rsidR="000F4BE9" w:rsidRPr="00976EF3">
        <w:t>, download the Excel file, move into Google Sheets, and invite people to start.</w:t>
      </w:r>
    </w:p>
    <w:p w14:paraId="3B1A0B03" w14:textId="77777777" w:rsidR="000F4BE9" w:rsidRDefault="000F4BE9" w:rsidP="002B4310"/>
    <w:p w14:paraId="6D0DDD36" w14:textId="61B6C114" w:rsidR="002B4310" w:rsidRDefault="00467C16" w:rsidP="002B4310">
      <w:r>
        <w:t xml:space="preserve">There are </w:t>
      </w:r>
      <w:r w:rsidR="008105AC">
        <w:t>many</w:t>
      </w:r>
      <w:r>
        <w:t xml:space="preserve"> ways to represent adaptive operations such as </w:t>
      </w:r>
      <w:r w:rsidR="00B63921">
        <w:t xml:space="preserve">a rule, chart, </w:t>
      </w:r>
      <w:r>
        <w:t>or</w:t>
      </w:r>
      <w:r w:rsidR="00B63921">
        <w:t xml:space="preserve"> interactive sheet. </w:t>
      </w:r>
      <w:r w:rsidR="0019438F">
        <w:t>A common benefit of the</w:t>
      </w:r>
      <w:r w:rsidR="00B2383E">
        <w:t xml:space="preserve"> three</w:t>
      </w:r>
      <w:r w:rsidR="0019438F">
        <w:t xml:space="preserve"> </w:t>
      </w:r>
      <w:r w:rsidR="00B63921">
        <w:t>approaches</w:t>
      </w:r>
      <w:r w:rsidR="0019438F">
        <w:t xml:space="preserve"> was to define a goal of how much additional water for parties to conserve. Define the goal is </w:t>
      </w:r>
      <w:r w:rsidR="00D4795A">
        <w:t xml:space="preserve">also </w:t>
      </w:r>
      <w:r w:rsidR="0019438F">
        <w:t xml:space="preserve">an important first step to motivate and sustain conservation behavior </w:t>
      </w:r>
      <w:r w:rsidR="0019438F">
        <w:fldChar w:fldCharType="begin"/>
      </w:r>
      <w:r w:rsidR="0019438F">
        <w:instrText xml:space="preserve"> ADDIN EN.CITE &lt;EndNote&gt;&lt;Cite&gt;&lt;Author&gt;Aveek&lt;/Author&gt;&lt;Year&gt;2022&lt;/Year&gt;&lt;RecNum&gt;2894&lt;/RecNum&gt;&lt;DisplayText&gt;(Aveek, 2022)&lt;/DisplayText&gt;&lt;record&gt;&lt;rec-number&gt;2894&lt;/rec-number&gt;&lt;foreign-keys&gt;&lt;key app="EN" db-id="xxt5ta9pd995dwesap0pdzzp2weaz0w9werf" timestamp="1657218886"&gt;2894&lt;/key&gt;&lt;/foreign-keys&gt;&lt;ref-type name="Thesis"&gt;32&lt;/ref-type&gt;&lt;contributors&gt;&lt;authors&gt;&lt;author&gt;Mahmudur Rahman Aveek&lt;/author&gt;&lt;/authors&gt;&lt;tertiary-authors&gt;&lt;author&gt;David E. Rosenberg&lt;/author&gt;&lt;/tertiary-authors&gt;&lt;/contributors&gt;&lt;titles&gt;&lt;title&gt;Sustain Water Conservation Behaviors Using Nonparametric Ranking and Social Marketing&lt;/title&gt;&lt;secondary-title&gt;Civil and Environmental Engineering&lt;/secondary-title&gt;&lt;/titles&gt;&lt;pages&gt;160&lt;/pages&gt;&lt;volume&gt;MS&lt;/volume&gt;&lt;dates&gt;&lt;year&gt;2022&lt;/year&gt;&lt;/dates&gt;&lt;pub-location&gt;Logan, Utah&lt;/pub-location&gt;&lt;publisher&gt;Utah State University&lt;/publisher&gt;&lt;urls&gt;&lt;related-urls&gt;&lt;url&gt;https://digitalcommons.usu.edu/cgi/viewcontent.cgi?article=9674&amp;amp;context=etd&lt;/url&gt;&lt;/related-urls&gt;&lt;/urls&gt;&lt;/record&gt;&lt;/Cite&gt;&lt;/EndNote&gt;</w:instrText>
      </w:r>
      <w:r w:rsidR="0019438F">
        <w:fldChar w:fldCharType="separate"/>
      </w:r>
      <w:r w:rsidR="0019438F">
        <w:rPr>
          <w:noProof/>
        </w:rPr>
        <w:t>(Aveek, 2022)</w:t>
      </w:r>
      <w:r w:rsidR="0019438F">
        <w:fldChar w:fldCharType="end"/>
      </w:r>
      <w:r w:rsidR="0019438F">
        <w:t>.</w:t>
      </w:r>
      <w:r w:rsidR="00B2383E">
        <w:t xml:space="preserve"> </w:t>
      </w:r>
    </w:p>
    <w:p w14:paraId="3789554E" w14:textId="2A9A64A8" w:rsidR="00F26F10" w:rsidRDefault="00F26F10" w:rsidP="002B4310"/>
    <w:p w14:paraId="2E0E4277" w14:textId="6EBAC022" w:rsidR="00DB7B13" w:rsidRDefault="00E9638C" w:rsidP="002B4310">
      <w:r>
        <w:t>One</w:t>
      </w:r>
      <w:r w:rsidR="008B3A2B">
        <w:t xml:space="preserve"> common challenge </w:t>
      </w:r>
      <w:r w:rsidR="00D912C8">
        <w:t xml:space="preserve">to adapt to </w:t>
      </w:r>
      <w:r w:rsidR="008105AC">
        <w:t>flow</w:t>
      </w:r>
      <w:r w:rsidR="00D912C8">
        <w:t>s</w:t>
      </w:r>
      <w:r w:rsidR="008B3A2B">
        <w:t xml:space="preserve"> was </w:t>
      </w:r>
      <w:r w:rsidR="00F26F10">
        <w:t xml:space="preserve">how </w:t>
      </w:r>
      <w:r w:rsidR="002265B4">
        <w:t xml:space="preserve">low a flow to </w:t>
      </w:r>
      <w:r w:rsidR="007372E0">
        <w:t>consider</w:t>
      </w:r>
      <w:r w:rsidR="002265B4">
        <w:t xml:space="preserve">? A second challenge was how </w:t>
      </w:r>
      <w:r w:rsidR="00F26F10">
        <w:t xml:space="preserve">to divide </w:t>
      </w:r>
      <w:r w:rsidR="000F4BE9">
        <w:t>the sometimes large</w:t>
      </w:r>
      <w:r w:rsidR="00416491">
        <w:t xml:space="preserve"> cutbacks</w:t>
      </w:r>
      <w:r w:rsidR="00F26F10">
        <w:t xml:space="preserve"> </w:t>
      </w:r>
      <w:r w:rsidR="007372E0">
        <w:t>among parties</w:t>
      </w:r>
      <w:r w:rsidR="000F4BE9">
        <w:t xml:space="preserve">? </w:t>
      </w:r>
      <w:r>
        <w:t>A</w:t>
      </w:r>
      <w:r w:rsidR="002265B4">
        <w:t xml:space="preserve"> third</w:t>
      </w:r>
      <w:r w:rsidR="000F4BE9">
        <w:t xml:space="preserve"> and fourth</w:t>
      </w:r>
      <w:r>
        <w:t xml:space="preserve"> challenge </w:t>
      </w:r>
      <w:r w:rsidR="002265B4">
        <w:t>w</w:t>
      </w:r>
      <w:r w:rsidR="000F4BE9">
        <w:t>ere</w:t>
      </w:r>
      <w:r>
        <w:t xml:space="preserve"> how to turn the annual analyses into monthly operations</w:t>
      </w:r>
      <w:r w:rsidR="000F4BE9">
        <w:t xml:space="preserve"> and</w:t>
      </w:r>
      <w:r w:rsidR="000F4BE9" w:rsidRPr="000F4BE9">
        <w:t xml:space="preserve"> </w:t>
      </w:r>
      <w:r w:rsidR="000F4BE9" w:rsidRPr="00976EF3">
        <w:t xml:space="preserve">how to </w:t>
      </w:r>
      <w:r w:rsidR="000F4BE9">
        <w:t>adapt when flow forecasts</w:t>
      </w:r>
      <w:r w:rsidR="000F4BE9" w:rsidRPr="00976EF3">
        <w:t xml:space="preserve"> overestimat</w:t>
      </w:r>
      <w:r w:rsidR="000F4BE9">
        <w:t>e</w:t>
      </w:r>
      <w:r w:rsidR="000F4BE9" w:rsidRPr="00976EF3">
        <w:t xml:space="preserve"> actual flow</w:t>
      </w:r>
      <w:r w:rsidR="000F4BE9">
        <w:t>?</w:t>
      </w:r>
    </w:p>
    <w:p w14:paraId="702C53F1" w14:textId="77777777" w:rsidR="00DB7B13" w:rsidRDefault="00DB7B13" w:rsidP="002B4310"/>
    <w:p w14:paraId="2F77F721" w14:textId="163D7C28" w:rsidR="005407D1" w:rsidRDefault="00C10E4A" w:rsidP="002B4310">
      <w:r>
        <w:t xml:space="preserve">There are </w:t>
      </w:r>
      <w:r w:rsidR="00EB724B">
        <w:t>many more</w:t>
      </w:r>
      <w:r w:rsidR="00B2383E">
        <w:t xml:space="preserve"> potential adaptive operations</w:t>
      </w:r>
      <w:r w:rsidR="00B63921">
        <w:t xml:space="preserve"> with different flow triggers, </w:t>
      </w:r>
      <w:r w:rsidR="000F4BE9">
        <w:t xml:space="preserve">cutback strategies, </w:t>
      </w:r>
      <w:r w:rsidR="00B63921">
        <w:t>temporal, and spatial scopes.</w:t>
      </w:r>
      <w:r w:rsidR="002265B4">
        <w:t xml:space="preserve"> </w:t>
      </w:r>
      <w:r w:rsidR="000F4BE9">
        <w:t>Before exploring th</w:t>
      </w:r>
      <w:r w:rsidR="00187A6F">
        <w:t>o</w:t>
      </w:r>
      <w:r w:rsidR="000F4BE9">
        <w:t xml:space="preserve">se aspects further, I suggest to </w:t>
      </w:r>
      <w:r w:rsidR="00187A6F">
        <w:t>consider</w:t>
      </w:r>
      <w:r w:rsidR="000F4BE9">
        <w:t xml:space="preserve"> a larger set of operations and values </w:t>
      </w:r>
      <w:r w:rsidR="00187A6F">
        <w:t>such as</w:t>
      </w:r>
      <w:r w:rsidR="002265B4">
        <w:t xml:space="preserve"> equity,</w:t>
      </w:r>
      <w:r w:rsidR="005A15E3">
        <w:t xml:space="preserve"> sustainability,</w:t>
      </w:r>
      <w:r w:rsidR="002265B4">
        <w:t xml:space="preserve"> First Nations </w:t>
      </w:r>
      <w:r w:rsidR="00CB4009">
        <w:t xml:space="preserve">participate as sovereigns, </w:t>
      </w:r>
      <w:r w:rsidR="00187A6F">
        <w:t xml:space="preserve">joint learning, </w:t>
      </w:r>
      <w:r w:rsidR="002C7115">
        <w:t xml:space="preserve">affordable </w:t>
      </w:r>
      <w:r w:rsidR="006713CA">
        <w:t>energy</w:t>
      </w:r>
      <w:r w:rsidR="002C7115">
        <w:t xml:space="preserve"> for rural communities, </w:t>
      </w:r>
      <w:r w:rsidR="005A15E3">
        <w:t>protect</w:t>
      </w:r>
      <w:r w:rsidR="002265B4">
        <w:t xml:space="preserve"> native fish, and </w:t>
      </w:r>
      <w:r w:rsidR="00187A6F">
        <w:t>manag</w:t>
      </w:r>
      <w:r w:rsidR="008E3A10">
        <w:t>e</w:t>
      </w:r>
      <w:r w:rsidR="00187A6F">
        <w:t xml:space="preserve"> with uncertainty</w:t>
      </w:r>
      <w:r w:rsidR="00AE7FE4">
        <w:t>.</w:t>
      </w:r>
    </w:p>
    <w:p w14:paraId="00145A46" w14:textId="0EA54F85" w:rsidR="00F26F10" w:rsidRDefault="005407D1" w:rsidP="005407D1">
      <w:pPr>
        <w:pStyle w:val="Heading1"/>
      </w:pPr>
      <w:r>
        <w:t>Acknowledgements</w:t>
      </w:r>
      <w:r w:rsidR="00F5683A">
        <w:t xml:space="preserve">    </w:t>
      </w:r>
      <w:r w:rsidR="008B3A2B">
        <w:t xml:space="preserve"> </w:t>
      </w:r>
    </w:p>
    <w:p w14:paraId="76E86CD7" w14:textId="65DED454" w:rsidR="005407D1" w:rsidRPr="005407D1" w:rsidRDefault="005407D1" w:rsidP="005407D1">
      <w:r>
        <w:t>Hadia Akbar</w:t>
      </w:r>
      <w:r w:rsidR="000F4BE9">
        <w:t>,</w:t>
      </w:r>
      <w:r>
        <w:t xml:space="preserve"> Jian Wang</w:t>
      </w:r>
      <w:r w:rsidR="000F4BE9">
        <w:t xml:space="preserve">, and Micah </w:t>
      </w:r>
      <w:proofErr w:type="spellStart"/>
      <w:r w:rsidR="000F4BE9">
        <w:t>Saftsten</w:t>
      </w:r>
      <w:proofErr w:type="spellEnd"/>
      <w:r w:rsidR="000F4BE9">
        <w:t xml:space="preserve"> </w:t>
      </w:r>
      <w:r>
        <w:t>provided suggestions that improved th</w:t>
      </w:r>
      <w:r w:rsidR="00665159">
        <w:t>is</w:t>
      </w:r>
      <w:r>
        <w:t xml:space="preserve"> piece.</w:t>
      </w:r>
    </w:p>
    <w:p w14:paraId="0B590A86" w14:textId="7A9060DB" w:rsidR="00511E4A" w:rsidRPr="0028676C" w:rsidRDefault="00511E4A" w:rsidP="003C285A">
      <w:pPr>
        <w:pStyle w:val="Heading1"/>
      </w:pPr>
      <w:r>
        <w:t>References</w:t>
      </w:r>
    </w:p>
    <w:p w14:paraId="77D0EFB2" w14:textId="59F38AF5" w:rsidR="00E913DB" w:rsidRPr="00E913DB" w:rsidRDefault="00A14909" w:rsidP="00E913DB">
      <w:pPr>
        <w:pStyle w:val="EndNoteBibliography"/>
        <w:ind w:left="720" w:hanging="720"/>
      </w:pPr>
      <w:r>
        <w:fldChar w:fldCharType="begin"/>
      </w:r>
      <w:r>
        <w:instrText xml:space="preserve"> ADDIN EN.REFLIST </w:instrText>
      </w:r>
      <w:r>
        <w:fldChar w:fldCharType="separate"/>
      </w:r>
      <w:r w:rsidR="00E913DB" w:rsidRPr="00E913DB">
        <w:t xml:space="preserve">Aveek, M. R. (2022). "Sustain Water Conservation Behaviors Using Nonparametric Ranking and Social Marketing," Utah State University, Logan, Utah. </w:t>
      </w:r>
      <w:hyperlink r:id="rId16" w:history="1">
        <w:r w:rsidR="00E913DB" w:rsidRPr="00E913DB">
          <w:rPr>
            <w:rStyle w:val="Hyperlink"/>
          </w:rPr>
          <w:t>https://digitalcommons.usu.edu/cgi/viewcontent.cgi?article=9674&amp;context=etd</w:t>
        </w:r>
      </w:hyperlink>
      <w:r w:rsidR="00E913DB" w:rsidRPr="00E913DB">
        <w:t>.</w:t>
      </w:r>
    </w:p>
    <w:p w14:paraId="710154D7" w14:textId="37DBAB1D" w:rsidR="00E913DB" w:rsidRPr="00E913DB" w:rsidRDefault="00E913DB" w:rsidP="00E913DB">
      <w:pPr>
        <w:pStyle w:val="EndNoteBibliography"/>
        <w:ind w:left="720" w:hanging="720"/>
      </w:pPr>
      <w:r w:rsidRPr="00E913DB">
        <w:t xml:space="preserve">Carson, C. A., Stone, C. H., Wilson, F. E., Watson, E. H., and Bishop, L. C. (1948). "Upper Colorado River Basin Compact." U.S. Bureau of Reclamation. </w:t>
      </w:r>
      <w:hyperlink r:id="rId17" w:history="1">
        <w:r w:rsidRPr="00E913DB">
          <w:rPr>
            <w:rStyle w:val="Hyperlink"/>
          </w:rPr>
          <w:t>https://www.usbr.gov/lc/region/g1000/pdfiles/ucbsnact.pdf</w:t>
        </w:r>
      </w:hyperlink>
      <w:r w:rsidRPr="00E913DB">
        <w:t>. [Accessed on: September 7, 2021].</w:t>
      </w:r>
    </w:p>
    <w:p w14:paraId="4900B114" w14:textId="05DBD10C" w:rsidR="00E913DB" w:rsidRPr="00E913DB" w:rsidRDefault="00E913DB" w:rsidP="00E913DB">
      <w:pPr>
        <w:pStyle w:val="EndNoteBibliography"/>
        <w:ind w:left="720" w:hanging="720"/>
      </w:pPr>
      <w:r w:rsidRPr="00E913DB">
        <w:t xml:space="preserve">Hager, A. (2021). "Lower basin states sign deal to put water back in Lake Mead amid dropping levels." </w:t>
      </w:r>
      <w:r w:rsidRPr="00E913DB">
        <w:rPr>
          <w:i/>
        </w:rPr>
        <w:t>KUNC</w:t>
      </w:r>
      <w:r w:rsidRPr="00E913DB">
        <w:t xml:space="preserve">. </w:t>
      </w:r>
      <w:hyperlink r:id="rId18" w:history="1">
        <w:r w:rsidRPr="00E913DB">
          <w:rPr>
            <w:rStyle w:val="Hyperlink"/>
          </w:rPr>
          <w:t>https://www.kunc.org/environment/2021-12-15/lower-basin-states-sign-deal-to-put-water-back-in-lake-mead-amid-dropping-levels</w:t>
        </w:r>
      </w:hyperlink>
      <w:r w:rsidRPr="00E913DB">
        <w:t>.</w:t>
      </w:r>
    </w:p>
    <w:p w14:paraId="405A8E9C" w14:textId="47D3D20B" w:rsidR="00E913DB" w:rsidRPr="00E913DB" w:rsidRDefault="00E913DB" w:rsidP="00E913DB">
      <w:pPr>
        <w:pStyle w:val="EndNoteBibliography"/>
        <w:ind w:left="720" w:hanging="720"/>
      </w:pPr>
      <w:r w:rsidRPr="00E913DB">
        <w:t xml:space="preserve">Rosenberg, D. E. (2022). "Colorado River Basin Accounts: Provoke discussion about more adaptive operations." Hydroshare.org. </w:t>
      </w:r>
      <w:hyperlink r:id="rId19" w:history="1">
        <w:r w:rsidRPr="00E913DB">
          <w:rPr>
            <w:rStyle w:val="Hyperlink"/>
          </w:rPr>
          <w:t>https://doi.org/10.4211/hs.e0cbe52ad4524c07bb5b7ff8c373a343</w:t>
        </w:r>
      </w:hyperlink>
      <w:r w:rsidRPr="00E913DB">
        <w:t>.</w:t>
      </w:r>
    </w:p>
    <w:p w14:paraId="5D3CDB69" w14:textId="03F96EE3" w:rsidR="00E913DB" w:rsidRPr="00E913DB" w:rsidRDefault="00E913DB" w:rsidP="00E913DB">
      <w:pPr>
        <w:pStyle w:val="EndNoteBibliography"/>
        <w:ind w:left="720" w:hanging="720"/>
      </w:pPr>
      <w:r w:rsidRPr="00E913DB">
        <w:t xml:space="preserve">Rosenberg, D. E. (In press). "Adapt Lake Mead releases to </w:t>
      </w:r>
      <w:r w:rsidR="008105AC">
        <w:t>flow</w:t>
      </w:r>
      <w:r w:rsidRPr="00E913DB">
        <w:t xml:space="preserve"> to give managers more flexibility to slow reservoir draw down." </w:t>
      </w:r>
      <w:r w:rsidRPr="00E913DB">
        <w:rPr>
          <w:i/>
        </w:rPr>
        <w:t>Journal of Water Resources Planning and Management</w:t>
      </w:r>
      <w:r w:rsidRPr="00E913DB">
        <w:t xml:space="preserve">, 10. </w:t>
      </w:r>
      <w:hyperlink r:id="rId20" w:history="1">
        <w:r w:rsidRPr="00E913DB">
          <w:rPr>
            <w:rStyle w:val="Hyperlink"/>
          </w:rPr>
          <w:t>https://digitalcommons.usu.edu/water_pubs/170/</w:t>
        </w:r>
      </w:hyperlink>
      <w:r w:rsidRPr="00E913DB">
        <w:t>.</w:t>
      </w:r>
    </w:p>
    <w:p w14:paraId="57AD2890" w14:textId="65C40E19" w:rsidR="00E913DB" w:rsidRPr="00E913DB" w:rsidRDefault="00E913DB" w:rsidP="00E913DB">
      <w:pPr>
        <w:pStyle w:val="EndNoteBibliography"/>
        <w:ind w:left="720" w:hanging="720"/>
      </w:pPr>
      <w:r w:rsidRPr="00E913DB">
        <w:t xml:space="preserve">USBR. (2007). "Record of Decision: Colorado River Interim Guidelines for Lower Basin Shortages and Coordinated Operations for Lakes Powell and Mead." U.S. Bureau of Reclamation. </w:t>
      </w:r>
      <w:hyperlink r:id="rId21" w:history="1">
        <w:r w:rsidRPr="00E913DB">
          <w:rPr>
            <w:rStyle w:val="Hyperlink"/>
          </w:rPr>
          <w:t>https://www.usbr.gov/lc/region/programs/strategies/RecordofDecision.pdf</w:t>
        </w:r>
      </w:hyperlink>
      <w:r w:rsidRPr="00E913DB">
        <w:t>.</w:t>
      </w:r>
    </w:p>
    <w:p w14:paraId="0E971903" w14:textId="3903E19D" w:rsidR="00E913DB" w:rsidRPr="00E913DB" w:rsidRDefault="00E913DB" w:rsidP="00E913DB">
      <w:pPr>
        <w:pStyle w:val="EndNoteBibliography"/>
        <w:ind w:left="720" w:hanging="720"/>
      </w:pPr>
      <w:r w:rsidRPr="00E913DB">
        <w:t xml:space="preserve">USBR. (2019). "Agreement Concerning Colorado River Drought Contingency Management and Operations." U.S. Bureau of Reclamation, Washington, DC. </w:t>
      </w:r>
      <w:hyperlink r:id="rId22" w:history="1">
        <w:r w:rsidRPr="00E913DB">
          <w:rPr>
            <w:rStyle w:val="Hyperlink"/>
          </w:rPr>
          <w:t>https://www.usbr.gov/dcp/finaldocs.html</w:t>
        </w:r>
      </w:hyperlink>
      <w:r w:rsidRPr="00E913DB">
        <w:t>.</w:t>
      </w:r>
    </w:p>
    <w:p w14:paraId="11DB7844" w14:textId="4F6A5FAA" w:rsidR="00E913DB" w:rsidRPr="00E913DB" w:rsidRDefault="00E913DB" w:rsidP="00E913DB">
      <w:pPr>
        <w:pStyle w:val="EndNoteBibliography"/>
        <w:ind w:left="720" w:hanging="720"/>
      </w:pPr>
      <w:r w:rsidRPr="00E913DB">
        <w:lastRenderedPageBreak/>
        <w:t xml:space="preserve">Wang, J., and Rosenberg, D. E. (Submitted). "Living within our Means: Adapting Colorado River Basin depletions to available water." </w:t>
      </w:r>
      <w:r w:rsidRPr="00E913DB">
        <w:rPr>
          <w:i/>
        </w:rPr>
        <w:t>Submitted to Journal of Water Resources Planning and Management</w:t>
      </w:r>
      <w:r w:rsidRPr="00E913DB">
        <w:t xml:space="preserve">. </w:t>
      </w:r>
      <w:hyperlink r:id="rId23" w:history="1">
        <w:r w:rsidRPr="00E913DB">
          <w:rPr>
            <w:rStyle w:val="Hyperlink"/>
          </w:rPr>
          <w:t>https://digitalcommons.usu.edu/water_pubs/171/</w:t>
        </w:r>
      </w:hyperlink>
      <w:r w:rsidRPr="00E913DB">
        <w:t>.</w:t>
      </w:r>
    </w:p>
    <w:p w14:paraId="17B0E6F9" w14:textId="0E5C9C0E" w:rsidR="003B1977" w:rsidRPr="00925B2B" w:rsidRDefault="00A14909" w:rsidP="00E913DB">
      <w:r>
        <w:fldChar w:fldCharType="end"/>
      </w:r>
    </w:p>
    <w:sectPr w:rsidR="003B1977" w:rsidRPr="00925B2B">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7FD3" w16cex:dateUtc="2022-07-13T23:30: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2FF1"/>
    <w:multiLevelType w:val="hybridMultilevel"/>
    <w:tmpl w:val="D7C6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21A26"/>
    <w:multiLevelType w:val="hybridMultilevel"/>
    <w:tmpl w:val="BB2E6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D185A"/>
    <w:multiLevelType w:val="hybridMultilevel"/>
    <w:tmpl w:val="F96AE4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6710A"/>
    <w:multiLevelType w:val="hybridMultilevel"/>
    <w:tmpl w:val="DC4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0EFF"/>
    <w:multiLevelType w:val="hybridMultilevel"/>
    <w:tmpl w:val="7BD8A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34B44"/>
    <w:multiLevelType w:val="hybridMultilevel"/>
    <w:tmpl w:val="788E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C4F1A"/>
    <w:multiLevelType w:val="hybridMultilevel"/>
    <w:tmpl w:val="CFE66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845D49"/>
    <w:multiLevelType w:val="hybridMultilevel"/>
    <w:tmpl w:val="037AB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745781"/>
    <w:multiLevelType w:val="hybridMultilevel"/>
    <w:tmpl w:val="721E5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847C2"/>
    <w:multiLevelType w:val="hybridMultilevel"/>
    <w:tmpl w:val="61F093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65760"/>
    <w:multiLevelType w:val="hybridMultilevel"/>
    <w:tmpl w:val="A264876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4" w15:restartNumberingAfterBreak="0">
    <w:nsid w:val="4F6516D3"/>
    <w:multiLevelType w:val="hybridMultilevel"/>
    <w:tmpl w:val="9EEAFE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5A460BBB"/>
    <w:multiLevelType w:val="hybridMultilevel"/>
    <w:tmpl w:val="86CE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387923"/>
    <w:multiLevelType w:val="hybridMultilevel"/>
    <w:tmpl w:val="29FC0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74765C"/>
    <w:multiLevelType w:val="hybridMultilevel"/>
    <w:tmpl w:val="05AE6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A61F4F"/>
    <w:multiLevelType w:val="hybridMultilevel"/>
    <w:tmpl w:val="A3B62A7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0" w15:restartNumberingAfterBreak="0">
    <w:nsid w:val="776E7B23"/>
    <w:multiLevelType w:val="hybridMultilevel"/>
    <w:tmpl w:val="9E6AC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7F2206"/>
    <w:multiLevelType w:val="hybridMultilevel"/>
    <w:tmpl w:val="FD9E3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35467"/>
    <w:multiLevelType w:val="hybridMultilevel"/>
    <w:tmpl w:val="61F0936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7"/>
  </w:num>
  <w:num w:numId="4">
    <w:abstractNumId w:val="12"/>
  </w:num>
  <w:num w:numId="5">
    <w:abstractNumId w:val="16"/>
  </w:num>
  <w:num w:numId="6">
    <w:abstractNumId w:val="0"/>
  </w:num>
  <w:num w:numId="7">
    <w:abstractNumId w:val="21"/>
  </w:num>
  <w:num w:numId="8">
    <w:abstractNumId w:val="15"/>
  </w:num>
  <w:num w:numId="9">
    <w:abstractNumId w:val="6"/>
  </w:num>
  <w:num w:numId="10">
    <w:abstractNumId w:val="2"/>
  </w:num>
  <w:num w:numId="11">
    <w:abstractNumId w:val="7"/>
  </w:num>
  <w:num w:numId="12">
    <w:abstractNumId w:val="8"/>
  </w:num>
  <w:num w:numId="13">
    <w:abstractNumId w:val="10"/>
  </w:num>
  <w:num w:numId="14">
    <w:abstractNumId w:val="9"/>
  </w:num>
  <w:num w:numId="15">
    <w:abstractNumId w:val="14"/>
  </w:num>
  <w:num w:numId="16">
    <w:abstractNumId w:val="22"/>
  </w:num>
  <w:num w:numId="17">
    <w:abstractNumId w:val="3"/>
  </w:num>
  <w:num w:numId="18">
    <w:abstractNumId w:val="1"/>
  </w:num>
  <w:num w:numId="19">
    <w:abstractNumId w:val="13"/>
  </w:num>
  <w:num w:numId="20">
    <w:abstractNumId w:val="18"/>
  </w:num>
  <w:num w:numId="21">
    <w:abstractNumId w:val="19"/>
  </w:num>
  <w:num w:numId="22">
    <w:abstractNumId w:val="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578&lt;/item&gt;&lt;item&gt;2736&lt;/item&gt;&lt;item&gt;2796&lt;/item&gt;&lt;item&gt;2815&lt;/item&gt;&lt;item&gt;2817&lt;/item&gt;&lt;item&gt;2819&lt;/item&gt;&lt;item&gt;2865&lt;/item&gt;&lt;item&gt;2894&lt;/item&gt;&lt;/record-ids&gt;&lt;/item&gt;&lt;/Libraries&gt;"/>
  </w:docVars>
  <w:rsids>
    <w:rsidRoot w:val="008C1CDE"/>
    <w:rsid w:val="000003E8"/>
    <w:rsid w:val="0000580D"/>
    <w:rsid w:val="00027D8B"/>
    <w:rsid w:val="00030283"/>
    <w:rsid w:val="00031573"/>
    <w:rsid w:val="000675C7"/>
    <w:rsid w:val="00075CBC"/>
    <w:rsid w:val="00075D45"/>
    <w:rsid w:val="0007626E"/>
    <w:rsid w:val="000858C3"/>
    <w:rsid w:val="000927F8"/>
    <w:rsid w:val="00092F14"/>
    <w:rsid w:val="00096061"/>
    <w:rsid w:val="000A2037"/>
    <w:rsid w:val="000A321E"/>
    <w:rsid w:val="000A7D73"/>
    <w:rsid w:val="000B4D8F"/>
    <w:rsid w:val="000B5937"/>
    <w:rsid w:val="000C3428"/>
    <w:rsid w:val="000D770C"/>
    <w:rsid w:val="000E3EDE"/>
    <w:rsid w:val="000E3F03"/>
    <w:rsid w:val="000E6172"/>
    <w:rsid w:val="000F162A"/>
    <w:rsid w:val="000F162E"/>
    <w:rsid w:val="000F4BE9"/>
    <w:rsid w:val="00102EBE"/>
    <w:rsid w:val="001044D4"/>
    <w:rsid w:val="001064BC"/>
    <w:rsid w:val="0010651A"/>
    <w:rsid w:val="001102A1"/>
    <w:rsid w:val="0011096C"/>
    <w:rsid w:val="001133E1"/>
    <w:rsid w:val="00114BDF"/>
    <w:rsid w:val="00120879"/>
    <w:rsid w:val="001502BF"/>
    <w:rsid w:val="001542E1"/>
    <w:rsid w:val="00156CAC"/>
    <w:rsid w:val="001752EE"/>
    <w:rsid w:val="001761A8"/>
    <w:rsid w:val="00186C17"/>
    <w:rsid w:val="0018757E"/>
    <w:rsid w:val="00187A6F"/>
    <w:rsid w:val="001909E7"/>
    <w:rsid w:val="001939C8"/>
    <w:rsid w:val="0019438F"/>
    <w:rsid w:val="001B11D4"/>
    <w:rsid w:val="001C773E"/>
    <w:rsid w:val="001E523B"/>
    <w:rsid w:val="001E695F"/>
    <w:rsid w:val="001F311A"/>
    <w:rsid w:val="002004D3"/>
    <w:rsid w:val="002232F2"/>
    <w:rsid w:val="00226120"/>
    <w:rsid w:val="002265B4"/>
    <w:rsid w:val="00256949"/>
    <w:rsid w:val="00260602"/>
    <w:rsid w:val="00260D41"/>
    <w:rsid w:val="00261A50"/>
    <w:rsid w:val="00275CEE"/>
    <w:rsid w:val="0028676C"/>
    <w:rsid w:val="00293E5E"/>
    <w:rsid w:val="00294F75"/>
    <w:rsid w:val="0029683D"/>
    <w:rsid w:val="002A029F"/>
    <w:rsid w:val="002A15A8"/>
    <w:rsid w:val="002A4393"/>
    <w:rsid w:val="002B2B02"/>
    <w:rsid w:val="002B3746"/>
    <w:rsid w:val="002B3F41"/>
    <w:rsid w:val="002B4310"/>
    <w:rsid w:val="002C0997"/>
    <w:rsid w:val="002C7115"/>
    <w:rsid w:val="002D5C9D"/>
    <w:rsid w:val="002F0EFE"/>
    <w:rsid w:val="002F3BCC"/>
    <w:rsid w:val="002F70ED"/>
    <w:rsid w:val="002F7E07"/>
    <w:rsid w:val="002F7E31"/>
    <w:rsid w:val="003017C3"/>
    <w:rsid w:val="00311137"/>
    <w:rsid w:val="003129AF"/>
    <w:rsid w:val="003178CB"/>
    <w:rsid w:val="00320421"/>
    <w:rsid w:val="003216F6"/>
    <w:rsid w:val="00321757"/>
    <w:rsid w:val="00330E81"/>
    <w:rsid w:val="0034408A"/>
    <w:rsid w:val="003461D7"/>
    <w:rsid w:val="003514F7"/>
    <w:rsid w:val="00352638"/>
    <w:rsid w:val="00370B53"/>
    <w:rsid w:val="00374CA5"/>
    <w:rsid w:val="00386EE8"/>
    <w:rsid w:val="00395E56"/>
    <w:rsid w:val="003A459B"/>
    <w:rsid w:val="003B1977"/>
    <w:rsid w:val="003B2920"/>
    <w:rsid w:val="003B54FA"/>
    <w:rsid w:val="003B616E"/>
    <w:rsid w:val="003B71E9"/>
    <w:rsid w:val="003C285A"/>
    <w:rsid w:val="003E5523"/>
    <w:rsid w:val="00412529"/>
    <w:rsid w:val="00416491"/>
    <w:rsid w:val="00417F05"/>
    <w:rsid w:val="00421397"/>
    <w:rsid w:val="00424F8F"/>
    <w:rsid w:val="00440B38"/>
    <w:rsid w:val="004416B1"/>
    <w:rsid w:val="004445A8"/>
    <w:rsid w:val="004458BD"/>
    <w:rsid w:val="00445DF8"/>
    <w:rsid w:val="004467FD"/>
    <w:rsid w:val="00463D94"/>
    <w:rsid w:val="00464DE6"/>
    <w:rsid w:val="00467C16"/>
    <w:rsid w:val="00474A0E"/>
    <w:rsid w:val="0047774C"/>
    <w:rsid w:val="00484A8C"/>
    <w:rsid w:val="00491CAC"/>
    <w:rsid w:val="004942B0"/>
    <w:rsid w:val="004942B5"/>
    <w:rsid w:val="0049569A"/>
    <w:rsid w:val="004B5841"/>
    <w:rsid w:val="004C7E2A"/>
    <w:rsid w:val="004E039C"/>
    <w:rsid w:val="004E2E80"/>
    <w:rsid w:val="004E7568"/>
    <w:rsid w:val="004F244D"/>
    <w:rsid w:val="00507EDA"/>
    <w:rsid w:val="00510736"/>
    <w:rsid w:val="00511E4A"/>
    <w:rsid w:val="00512AF6"/>
    <w:rsid w:val="00514324"/>
    <w:rsid w:val="005162F0"/>
    <w:rsid w:val="005407D1"/>
    <w:rsid w:val="00540B61"/>
    <w:rsid w:val="00546DF2"/>
    <w:rsid w:val="005642FC"/>
    <w:rsid w:val="00565320"/>
    <w:rsid w:val="005655BB"/>
    <w:rsid w:val="0057543E"/>
    <w:rsid w:val="0057604E"/>
    <w:rsid w:val="00581405"/>
    <w:rsid w:val="005847DE"/>
    <w:rsid w:val="00585F85"/>
    <w:rsid w:val="00586805"/>
    <w:rsid w:val="005868EB"/>
    <w:rsid w:val="0059483B"/>
    <w:rsid w:val="00596615"/>
    <w:rsid w:val="005979FA"/>
    <w:rsid w:val="005A15E3"/>
    <w:rsid w:val="005A734E"/>
    <w:rsid w:val="005B1413"/>
    <w:rsid w:val="005C1872"/>
    <w:rsid w:val="005C3587"/>
    <w:rsid w:val="005D4FCB"/>
    <w:rsid w:val="005E1352"/>
    <w:rsid w:val="005E17F4"/>
    <w:rsid w:val="005E4E13"/>
    <w:rsid w:val="005E6A20"/>
    <w:rsid w:val="006169E8"/>
    <w:rsid w:val="00627AAC"/>
    <w:rsid w:val="00633EF9"/>
    <w:rsid w:val="00636FAE"/>
    <w:rsid w:val="00640FDF"/>
    <w:rsid w:val="00652504"/>
    <w:rsid w:val="00665159"/>
    <w:rsid w:val="00666F0D"/>
    <w:rsid w:val="006713A3"/>
    <w:rsid w:val="006713CA"/>
    <w:rsid w:val="00685118"/>
    <w:rsid w:val="006856F2"/>
    <w:rsid w:val="0068714C"/>
    <w:rsid w:val="006A0956"/>
    <w:rsid w:val="006A5887"/>
    <w:rsid w:val="006A762E"/>
    <w:rsid w:val="006B00DF"/>
    <w:rsid w:val="006B1092"/>
    <w:rsid w:val="006D7849"/>
    <w:rsid w:val="006E0D95"/>
    <w:rsid w:val="006E4848"/>
    <w:rsid w:val="006F1231"/>
    <w:rsid w:val="006F18D6"/>
    <w:rsid w:val="006F49C1"/>
    <w:rsid w:val="006F75AD"/>
    <w:rsid w:val="00703262"/>
    <w:rsid w:val="007056DA"/>
    <w:rsid w:val="00706A10"/>
    <w:rsid w:val="0071204B"/>
    <w:rsid w:val="00736596"/>
    <w:rsid w:val="007372E0"/>
    <w:rsid w:val="007470AD"/>
    <w:rsid w:val="0075182C"/>
    <w:rsid w:val="00752E31"/>
    <w:rsid w:val="007539F1"/>
    <w:rsid w:val="0075527A"/>
    <w:rsid w:val="00763BA6"/>
    <w:rsid w:val="00767165"/>
    <w:rsid w:val="00772FA0"/>
    <w:rsid w:val="00795BEF"/>
    <w:rsid w:val="007A741E"/>
    <w:rsid w:val="007B1229"/>
    <w:rsid w:val="007B568A"/>
    <w:rsid w:val="007D08A8"/>
    <w:rsid w:val="007D09F8"/>
    <w:rsid w:val="007E58B5"/>
    <w:rsid w:val="007F005D"/>
    <w:rsid w:val="00803A4C"/>
    <w:rsid w:val="0080464C"/>
    <w:rsid w:val="008105AC"/>
    <w:rsid w:val="00813E15"/>
    <w:rsid w:val="00816767"/>
    <w:rsid w:val="00835823"/>
    <w:rsid w:val="00847867"/>
    <w:rsid w:val="0085319F"/>
    <w:rsid w:val="00880E89"/>
    <w:rsid w:val="008A7781"/>
    <w:rsid w:val="008B0F3C"/>
    <w:rsid w:val="008B1230"/>
    <w:rsid w:val="008B3A2B"/>
    <w:rsid w:val="008B69E0"/>
    <w:rsid w:val="008B7251"/>
    <w:rsid w:val="008B74BC"/>
    <w:rsid w:val="008C1CDE"/>
    <w:rsid w:val="008C44B2"/>
    <w:rsid w:val="008C5DF9"/>
    <w:rsid w:val="008D67DC"/>
    <w:rsid w:val="008E1DE3"/>
    <w:rsid w:val="008E3A10"/>
    <w:rsid w:val="008E6D8B"/>
    <w:rsid w:val="008E7193"/>
    <w:rsid w:val="00901487"/>
    <w:rsid w:val="0090431D"/>
    <w:rsid w:val="009124F1"/>
    <w:rsid w:val="00914B93"/>
    <w:rsid w:val="0091579F"/>
    <w:rsid w:val="0092176B"/>
    <w:rsid w:val="00924543"/>
    <w:rsid w:val="00924FC1"/>
    <w:rsid w:val="00925B2B"/>
    <w:rsid w:val="0092621D"/>
    <w:rsid w:val="009425BF"/>
    <w:rsid w:val="00944BCD"/>
    <w:rsid w:val="009468BF"/>
    <w:rsid w:val="00950790"/>
    <w:rsid w:val="00950A8B"/>
    <w:rsid w:val="0095158E"/>
    <w:rsid w:val="00954B56"/>
    <w:rsid w:val="009627FE"/>
    <w:rsid w:val="0098135B"/>
    <w:rsid w:val="0098381D"/>
    <w:rsid w:val="00992524"/>
    <w:rsid w:val="009A0863"/>
    <w:rsid w:val="009A10A7"/>
    <w:rsid w:val="009A4818"/>
    <w:rsid w:val="009A491E"/>
    <w:rsid w:val="009C4897"/>
    <w:rsid w:val="009C57F5"/>
    <w:rsid w:val="009D0E6A"/>
    <w:rsid w:val="009D44DC"/>
    <w:rsid w:val="009F604F"/>
    <w:rsid w:val="00A14909"/>
    <w:rsid w:val="00A15C20"/>
    <w:rsid w:val="00A61062"/>
    <w:rsid w:val="00A64428"/>
    <w:rsid w:val="00AA4C61"/>
    <w:rsid w:val="00AA7C0B"/>
    <w:rsid w:val="00AA7CF9"/>
    <w:rsid w:val="00AB3B4A"/>
    <w:rsid w:val="00AD0776"/>
    <w:rsid w:val="00AD4565"/>
    <w:rsid w:val="00AE7FE4"/>
    <w:rsid w:val="00AF24FF"/>
    <w:rsid w:val="00B01FBF"/>
    <w:rsid w:val="00B03A36"/>
    <w:rsid w:val="00B04CFD"/>
    <w:rsid w:val="00B11A1E"/>
    <w:rsid w:val="00B12F91"/>
    <w:rsid w:val="00B22FFF"/>
    <w:rsid w:val="00B2383E"/>
    <w:rsid w:val="00B26DCA"/>
    <w:rsid w:val="00B318C4"/>
    <w:rsid w:val="00B31E9A"/>
    <w:rsid w:val="00B42091"/>
    <w:rsid w:val="00B4432D"/>
    <w:rsid w:val="00B46F71"/>
    <w:rsid w:val="00B636D7"/>
    <w:rsid w:val="00B63921"/>
    <w:rsid w:val="00B80520"/>
    <w:rsid w:val="00B8296C"/>
    <w:rsid w:val="00B94020"/>
    <w:rsid w:val="00BA2186"/>
    <w:rsid w:val="00BA56EC"/>
    <w:rsid w:val="00BB15B3"/>
    <w:rsid w:val="00BB6175"/>
    <w:rsid w:val="00BC146C"/>
    <w:rsid w:val="00BC2E9E"/>
    <w:rsid w:val="00BC52D8"/>
    <w:rsid w:val="00BC587C"/>
    <w:rsid w:val="00BE0D0F"/>
    <w:rsid w:val="00BE21C6"/>
    <w:rsid w:val="00BF69F2"/>
    <w:rsid w:val="00C10E4A"/>
    <w:rsid w:val="00C1676F"/>
    <w:rsid w:val="00C2112B"/>
    <w:rsid w:val="00C24F6C"/>
    <w:rsid w:val="00C3425D"/>
    <w:rsid w:val="00C37847"/>
    <w:rsid w:val="00C41D6C"/>
    <w:rsid w:val="00C43F6F"/>
    <w:rsid w:val="00C5216A"/>
    <w:rsid w:val="00C55E99"/>
    <w:rsid w:val="00C562F7"/>
    <w:rsid w:val="00C63762"/>
    <w:rsid w:val="00C6527F"/>
    <w:rsid w:val="00C802C5"/>
    <w:rsid w:val="00C82D6B"/>
    <w:rsid w:val="00C863BC"/>
    <w:rsid w:val="00C869EB"/>
    <w:rsid w:val="00CB4009"/>
    <w:rsid w:val="00CB5E91"/>
    <w:rsid w:val="00CC1518"/>
    <w:rsid w:val="00CC3D75"/>
    <w:rsid w:val="00CC4D51"/>
    <w:rsid w:val="00CD3F7E"/>
    <w:rsid w:val="00CE2540"/>
    <w:rsid w:val="00CE65F3"/>
    <w:rsid w:val="00D01434"/>
    <w:rsid w:val="00D06545"/>
    <w:rsid w:val="00D07505"/>
    <w:rsid w:val="00D14CE9"/>
    <w:rsid w:val="00D25BC7"/>
    <w:rsid w:val="00D43F5B"/>
    <w:rsid w:val="00D4795A"/>
    <w:rsid w:val="00D53002"/>
    <w:rsid w:val="00D60389"/>
    <w:rsid w:val="00D63636"/>
    <w:rsid w:val="00D8779A"/>
    <w:rsid w:val="00D90188"/>
    <w:rsid w:val="00D912C8"/>
    <w:rsid w:val="00DA0717"/>
    <w:rsid w:val="00DA194C"/>
    <w:rsid w:val="00DA54AB"/>
    <w:rsid w:val="00DB7B13"/>
    <w:rsid w:val="00DC4CD0"/>
    <w:rsid w:val="00DD5782"/>
    <w:rsid w:val="00DE06E6"/>
    <w:rsid w:val="00DF141A"/>
    <w:rsid w:val="00E07744"/>
    <w:rsid w:val="00E234A3"/>
    <w:rsid w:val="00E25329"/>
    <w:rsid w:val="00E33B5A"/>
    <w:rsid w:val="00E360CC"/>
    <w:rsid w:val="00E3631F"/>
    <w:rsid w:val="00E43A64"/>
    <w:rsid w:val="00E50DA7"/>
    <w:rsid w:val="00E57386"/>
    <w:rsid w:val="00E824A5"/>
    <w:rsid w:val="00E82800"/>
    <w:rsid w:val="00E85B4D"/>
    <w:rsid w:val="00E913DB"/>
    <w:rsid w:val="00E91D5C"/>
    <w:rsid w:val="00E92E83"/>
    <w:rsid w:val="00E95A68"/>
    <w:rsid w:val="00E9638C"/>
    <w:rsid w:val="00EA2A01"/>
    <w:rsid w:val="00EB0274"/>
    <w:rsid w:val="00EB156F"/>
    <w:rsid w:val="00EB724B"/>
    <w:rsid w:val="00ED76FB"/>
    <w:rsid w:val="00EE0A0E"/>
    <w:rsid w:val="00EE782C"/>
    <w:rsid w:val="00EF0167"/>
    <w:rsid w:val="00EF06A1"/>
    <w:rsid w:val="00EF1DD0"/>
    <w:rsid w:val="00F10B0A"/>
    <w:rsid w:val="00F130F7"/>
    <w:rsid w:val="00F170CD"/>
    <w:rsid w:val="00F26F10"/>
    <w:rsid w:val="00F33C6B"/>
    <w:rsid w:val="00F42208"/>
    <w:rsid w:val="00F45841"/>
    <w:rsid w:val="00F45A51"/>
    <w:rsid w:val="00F54AE4"/>
    <w:rsid w:val="00F5683A"/>
    <w:rsid w:val="00F57A64"/>
    <w:rsid w:val="00F661DC"/>
    <w:rsid w:val="00F670FD"/>
    <w:rsid w:val="00F74795"/>
    <w:rsid w:val="00F771AA"/>
    <w:rsid w:val="00F802EB"/>
    <w:rsid w:val="00F84EFE"/>
    <w:rsid w:val="00F85403"/>
    <w:rsid w:val="00F859E9"/>
    <w:rsid w:val="00F86588"/>
    <w:rsid w:val="00FB1637"/>
    <w:rsid w:val="00FC5D3A"/>
    <w:rsid w:val="00FD090F"/>
    <w:rsid w:val="00FD161B"/>
    <w:rsid w:val="00FE1C11"/>
    <w:rsid w:val="00FE4E64"/>
    <w:rsid w:val="00FE6191"/>
    <w:rsid w:val="00FF4479"/>
    <w:rsid w:val="00FF61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CC7BD"/>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1FBF"/>
    <w:pPr>
      <w:spacing w:after="0"/>
    </w:pPr>
    <w:rPr>
      <w:rFonts w:asciiTheme="majorBidi" w:hAnsiTheme="majorBidi" w:cstheme="majorBidi"/>
      <w:sz w:val="24"/>
      <w:szCs w:val="24"/>
    </w:rPr>
  </w:style>
  <w:style w:type="paragraph" w:styleId="Heading1">
    <w:name w:val="heading 1"/>
    <w:basedOn w:val="Normal"/>
    <w:next w:val="Normal"/>
    <w:link w:val="Heading1Char"/>
    <w:uiPriority w:val="9"/>
    <w:qFormat/>
    <w:rsid w:val="00A64428"/>
    <w:pPr>
      <w:keepNext/>
      <w:spacing w:before="240" w:after="2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1761A8"/>
    <w:rPr>
      <w:rFonts w:ascii="Calibri" w:hAnsi="Calibri" w:cs="Calibri"/>
      <w:noProof/>
      <w:szCs w:val="24"/>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1761A8"/>
    <w:rPr>
      <w:rFonts w:ascii="Calibri" w:hAnsi="Calibri" w:cs="Calibri"/>
      <w:noProof/>
      <w:szCs w:val="24"/>
    </w:rPr>
  </w:style>
  <w:style w:type="character" w:styleId="CommentReference">
    <w:name w:val="annotation reference"/>
    <w:basedOn w:val="DefaultParagraphFont"/>
    <w:uiPriority w:val="99"/>
    <w:semiHidden/>
    <w:unhideWhenUsed/>
    <w:rsid w:val="005655BB"/>
    <w:rPr>
      <w:sz w:val="16"/>
      <w:szCs w:val="16"/>
    </w:rPr>
  </w:style>
  <w:style w:type="paragraph" w:styleId="CommentText">
    <w:name w:val="annotation text"/>
    <w:basedOn w:val="Normal"/>
    <w:link w:val="CommentTextChar"/>
    <w:uiPriority w:val="99"/>
    <w:unhideWhenUsed/>
    <w:rsid w:val="005655BB"/>
    <w:pPr>
      <w:spacing w:line="240" w:lineRule="auto"/>
    </w:pPr>
    <w:rPr>
      <w:sz w:val="20"/>
      <w:szCs w:val="20"/>
    </w:rPr>
  </w:style>
  <w:style w:type="character" w:customStyle="1" w:styleId="CommentTextChar">
    <w:name w:val="Comment Text Char"/>
    <w:basedOn w:val="DefaultParagraphFont"/>
    <w:link w:val="CommentText"/>
    <w:uiPriority w:val="99"/>
    <w:rsid w:val="005655BB"/>
    <w:rPr>
      <w:sz w:val="20"/>
      <w:szCs w:val="20"/>
    </w:rPr>
  </w:style>
  <w:style w:type="paragraph" w:styleId="CommentSubject">
    <w:name w:val="annotation subject"/>
    <w:basedOn w:val="CommentText"/>
    <w:next w:val="CommentText"/>
    <w:link w:val="CommentSubjectChar"/>
    <w:uiPriority w:val="99"/>
    <w:semiHidden/>
    <w:unhideWhenUsed/>
    <w:rsid w:val="005655BB"/>
    <w:rPr>
      <w:b/>
      <w:bCs/>
    </w:rPr>
  </w:style>
  <w:style w:type="character" w:customStyle="1" w:styleId="CommentSubjectChar">
    <w:name w:val="Comment Subject Char"/>
    <w:basedOn w:val="CommentTextChar"/>
    <w:link w:val="CommentSubject"/>
    <w:uiPriority w:val="99"/>
    <w:semiHidden/>
    <w:rsid w:val="005655BB"/>
    <w:rPr>
      <w:b/>
      <w:bCs/>
      <w:sz w:val="20"/>
      <w:szCs w:val="20"/>
    </w:rPr>
  </w:style>
  <w:style w:type="paragraph" w:styleId="BalloonText">
    <w:name w:val="Balloon Text"/>
    <w:basedOn w:val="Normal"/>
    <w:link w:val="BalloonTextChar"/>
    <w:uiPriority w:val="99"/>
    <w:semiHidden/>
    <w:unhideWhenUsed/>
    <w:rsid w:val="005C35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587"/>
    <w:rPr>
      <w:rFonts w:ascii="Segoe UI" w:hAnsi="Segoe UI" w:cs="Segoe UI"/>
      <w:sz w:val="18"/>
      <w:szCs w:val="18"/>
    </w:rPr>
  </w:style>
  <w:style w:type="table" w:styleId="TableGrid">
    <w:name w:val="Table Grid"/>
    <w:basedOn w:val="TableNormal"/>
    <w:uiPriority w:val="39"/>
    <w:rsid w:val="004C7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4428"/>
    <w:rPr>
      <w:rFonts w:asciiTheme="majorBidi" w:hAnsiTheme="majorBidi" w:cstheme="majorBidi"/>
      <w:b/>
      <w:bCs/>
      <w:sz w:val="24"/>
      <w:szCs w:val="24"/>
    </w:rPr>
  </w:style>
  <w:style w:type="paragraph" w:styleId="Title">
    <w:name w:val="Title"/>
    <w:basedOn w:val="Normal"/>
    <w:next w:val="Normal"/>
    <w:link w:val="TitleChar"/>
    <w:uiPriority w:val="10"/>
    <w:qFormat/>
    <w:rsid w:val="00703262"/>
    <w:rPr>
      <w:b/>
      <w:bCs/>
    </w:rPr>
  </w:style>
  <w:style w:type="character" w:customStyle="1" w:styleId="TitleChar">
    <w:name w:val="Title Char"/>
    <w:basedOn w:val="DefaultParagraphFont"/>
    <w:link w:val="Title"/>
    <w:uiPriority w:val="10"/>
    <w:rsid w:val="00703262"/>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0302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312729">
      <w:bodyDiv w:val="1"/>
      <w:marLeft w:val="0"/>
      <w:marRight w:val="0"/>
      <w:marTop w:val="0"/>
      <w:marBottom w:val="0"/>
      <w:divBdr>
        <w:top w:val="none" w:sz="0" w:space="0" w:color="auto"/>
        <w:left w:val="none" w:sz="0" w:space="0" w:color="auto"/>
        <w:bottom w:val="none" w:sz="0" w:space="0" w:color="auto"/>
        <w:right w:val="none" w:sz="0" w:space="0" w:color="auto"/>
      </w:divBdr>
    </w:div>
    <w:div w:id="193639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usu.edu/water_pubs/171/" TargetMode="External"/><Relationship Id="rId13" Type="http://schemas.openxmlformats.org/officeDocument/2006/relationships/image" Target="media/image3.png"/><Relationship Id="rId18" Type="http://schemas.openxmlformats.org/officeDocument/2006/relationships/hyperlink" Target="https://www.kunc.org/environment/2021-12-15/lower-basin-states-sign-deal-to-put-water-back-in-lake-mead-amid-dropping-levels" TargetMode="External"/><Relationship Id="rId26" Type="http://schemas.microsoft.com/office/2018/08/relationships/commentsExtensible" Target="commentsExtensible.xml"/><Relationship Id="rId3" Type="http://schemas.openxmlformats.org/officeDocument/2006/relationships/settings" Target="settings.xml"/><Relationship Id="rId21" Type="http://schemas.openxmlformats.org/officeDocument/2006/relationships/hyperlink" Target="https://www.usbr.gov/lc/region/programs/strategies/RecordofDecision.pdf" TargetMode="External"/><Relationship Id="rId7" Type="http://schemas.openxmlformats.org/officeDocument/2006/relationships/image" Target="media/image10.png"/><Relationship Id="rId12" Type="http://schemas.openxmlformats.org/officeDocument/2006/relationships/hyperlink" Target="https://doi.org/10.4211/hs.9402805ae48245b7b0474c7d32440cd7" TargetMode="External"/><Relationship Id="rId17" Type="http://schemas.openxmlformats.org/officeDocument/2006/relationships/hyperlink" Target="https://www.usbr.gov/lc/region/g1000/pdfiles/ucbsnact.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igitalcommons.usu.edu/cgi/viewcontent.cgi?article=9674&amp;context=etd" TargetMode="External"/><Relationship Id="rId20" Type="http://schemas.openxmlformats.org/officeDocument/2006/relationships/hyperlink" Target="https://digitalcommons.usu.edu/water_pubs/17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0.png"/><Relationship Id="rId24" Type="http://schemas.openxmlformats.org/officeDocument/2006/relationships/fontTable" Target="fontTable.xml"/><Relationship Id="rId5" Type="http://schemas.openxmlformats.org/officeDocument/2006/relationships/hyperlink" Target="mailto:david.rosenberg@usu.edu" TargetMode="External"/><Relationship Id="rId15" Type="http://schemas.openxmlformats.org/officeDocument/2006/relationships/hyperlink" Target="https://doi.org/10.4211/hs.e0cbe52ad4524c07bb5b7ff8c373a343" TargetMode="External"/><Relationship Id="rId23" Type="http://schemas.openxmlformats.org/officeDocument/2006/relationships/hyperlink" Target="https://digitalcommons.usu.edu/water_pubs/171/" TargetMode="External"/><Relationship Id="rId10" Type="http://schemas.openxmlformats.org/officeDocument/2006/relationships/image" Target="media/image2.png"/><Relationship Id="rId19" Type="http://schemas.openxmlformats.org/officeDocument/2006/relationships/hyperlink" Target="https://doi.org/10.4211/hs.e0cbe52ad4524c07bb5b7ff8c373a343" TargetMode="External"/><Relationship Id="rId4" Type="http://schemas.openxmlformats.org/officeDocument/2006/relationships/webSettings" Target="webSettings.xml"/><Relationship Id="rId9" Type="http://schemas.openxmlformats.org/officeDocument/2006/relationships/hyperlink" Target="https://digitalcommons.usu.edu/water_pubs/170/" TargetMode="External"/><Relationship Id="rId14" Type="http://schemas.openxmlformats.org/officeDocument/2006/relationships/image" Target="media/image30.png"/><Relationship Id="rId22" Type="http://schemas.openxmlformats.org/officeDocument/2006/relationships/hyperlink" Target="https://www.usbr.gov/dcp/final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2022-07-27T17:59:00Z</dcterms:created>
  <dcterms:modified xsi:type="dcterms:W3CDTF">2022-07-27T17:59:00Z</dcterms:modified>
</cp:coreProperties>
</file>