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B1" w:rsidRDefault="00AB6874">
      <w:r>
        <w:t>Model Guide Boxes</w:t>
      </w:r>
    </w:p>
    <w:p w:rsidR="00AB6874" w:rsidRDefault="00AB6874"/>
    <w:p w:rsidR="00AB6874" w:rsidRDefault="00AB68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7C68C" wp14:editId="18A8C40D">
                <wp:simplePos x="0" y="0"/>
                <wp:positionH relativeFrom="column">
                  <wp:posOffset>-214630</wp:posOffset>
                </wp:positionH>
                <wp:positionV relativeFrom="paragraph">
                  <wp:posOffset>-678815</wp:posOffset>
                </wp:positionV>
                <wp:extent cx="4698815" cy="1404620"/>
                <wp:effectExtent l="0" t="0" r="260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81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Pr="00E14DE9" w:rsidRDefault="00AB6874" w:rsidP="00AB687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4DE9">
                              <w:rPr>
                                <w:b/>
                                <w:bCs/>
                              </w:rPr>
                              <w:t>Box 1. Quick Start</w:t>
                            </w:r>
                          </w:p>
                          <w:p w:rsidR="00AB6874" w:rsidRPr="003526A5" w:rsidRDefault="00AB6874" w:rsidP="00AB6874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Setup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Review the main canons of existing Colorado River management (Appendix A).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One participant downloads the Excel model file 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begin"/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instrText xml:space="preserve"> ADDIN EN.CITE &lt;EndNote&gt;&lt;Cite&gt;&lt;Author&gt;Rosenberg&lt;/Author&gt;&lt;Year&gt;2021&lt;/Year&gt;&lt;RecNum&gt;2789&lt;/RecNum&gt;&lt;DisplayText&gt;(Rosenberg, 2021d)&lt;/DisplayText&gt;&lt;record&gt;&lt;rec-number&gt;2789&lt;/rec-number&gt;&lt;foreign-keys&gt;&lt;key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</w:instrText>
                            </w:r>
                            <w:bookmarkStart w:id="0" w:name="_GoBack"/>
                            <w:bookmarkEnd w:id="0"/>
                            <w:r w:rsidRPr="003526A5">
                              <w:rPr>
                                <w:color w:val="323E4F" w:themeColor="text2" w:themeShade="BF"/>
                              </w:rPr>
                              <w:instrText>ls&gt;&lt;/record&gt;&lt;/Cite&gt;&lt;/EndNote&gt;</w:instrTex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separate"/>
                            </w:r>
                            <w:r w:rsidRPr="003526A5">
                              <w:rPr>
                                <w:noProof/>
                                <w:color w:val="323E4F" w:themeColor="text2" w:themeShade="BF"/>
                              </w:rPr>
                              <w:t>(Rosenberg, 2021d)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fldChar w:fldCharType="end"/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Move the file to Google Drive.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Open in Google Sheets.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1260" w:hanging="180"/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>Share with other participants.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323E4F" w:themeColor="text2" w:themeShade="BF"/>
                              </w:rPr>
                            </w:pP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All participants open the </w:t>
                            </w:r>
                            <w:r w:rsidRPr="003526A5">
                              <w:rPr>
                                <w:i/>
                                <w:iCs/>
                                <w:color w:val="323E4F" w:themeColor="text2" w:themeShade="BF"/>
                              </w:rPr>
                              <w:t>Master</w:t>
                            </w:r>
                            <w:r w:rsidRPr="003526A5">
                              <w:rPr>
                                <w:color w:val="323E4F" w:themeColor="text2" w:themeShade="BF"/>
                              </w:rPr>
                              <w:t xml:space="preserve"> worksheet.</w:t>
                            </w:r>
                          </w:p>
                          <w:p w:rsidR="00AB6874" w:rsidRPr="003526A5" w:rsidRDefault="00AB6874" w:rsidP="00AB6874">
                            <w:pPr>
                              <w:rPr>
                                <w:b/>
                                <w:bCs/>
                                <w:color w:val="0000FF"/>
                              </w:rPr>
                            </w:pPr>
                            <w:r w:rsidRPr="003526A5">
                              <w:rPr>
                                <w:b/>
                                <w:bCs/>
                                <w:color w:val="0000FF"/>
                              </w:rPr>
                              <w:t>Play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C74261">
                              <w:rPr>
                                <w:color w:val="0000FF"/>
                              </w:rPr>
                              <w:t>Assign parties, person playing, and strategies (Step 1)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C74261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Sp</w:t>
                            </w:r>
                            <w:r w:rsidRPr="00C74261">
                              <w:rPr>
                                <w:color w:val="0000FF"/>
                              </w:rPr>
                              <w:t>ecify the natural to Lake Powell</w:t>
                            </w:r>
                            <w:r>
                              <w:rPr>
                                <w:color w:val="0000FF"/>
                              </w:rPr>
                              <w:t xml:space="preserve"> in Column C and work down</w:t>
                            </w:r>
                            <w:r w:rsidRPr="00C74261">
                              <w:rPr>
                                <w:color w:val="0000FF"/>
                              </w:rPr>
                              <w:t xml:space="preserve"> (Step 2)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3526A5">
                              <w:rPr>
                                <w:color w:val="0000FF"/>
                              </w:rPr>
                              <w:t>Players trade, conserve, and consume water (Step 5)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</w:p>
                          <w:p w:rsidR="00AB6874" w:rsidRPr="003526A5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  <w:rPr>
                                <w:color w:val="0000FF"/>
                              </w:rPr>
                            </w:pPr>
                            <w:r w:rsidRPr="003526A5">
                              <w:rPr>
                                <w:color w:val="0000FF"/>
                              </w:rPr>
                              <w:t>Assign combined storage to Lake Powell and Lake Mead</w:t>
                            </w:r>
                            <w:r>
                              <w:rPr>
                                <w:color w:val="0000FF"/>
                              </w:rPr>
                              <w:t xml:space="preserve"> (Step 7).</w:t>
                            </w:r>
                          </w:p>
                          <w:p w:rsidR="00AB6874" w:rsidRDefault="00AB6874" w:rsidP="00AB68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720" w:hanging="270"/>
                            </w:pPr>
                            <w:r w:rsidRPr="003526A5">
                              <w:rPr>
                                <w:color w:val="0000FF"/>
                              </w:rPr>
                              <w:t>Go to Step #2, next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97C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pt;margin-top:-53.45pt;width:37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" fillcolor="#fff2cc [663]">
                <v:textbox style="mso-fit-shape-to-text:t">
                  <w:txbxContent>
                    <w:p w:rsidR="00AB6874" w:rsidRPr="00E14DE9" w:rsidRDefault="00AB6874" w:rsidP="00AB687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4DE9">
                        <w:rPr>
                          <w:b/>
                          <w:bCs/>
                        </w:rPr>
                        <w:t>Box 1. Quick Start</w:t>
                      </w:r>
                    </w:p>
                    <w:p w:rsidR="00AB6874" w:rsidRPr="003526A5" w:rsidRDefault="00AB6874" w:rsidP="00AB6874">
                      <w:pPr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3526A5">
                        <w:rPr>
                          <w:b/>
                          <w:bCs/>
                          <w:color w:val="323E4F" w:themeColor="text2" w:themeShade="BF"/>
                        </w:rPr>
                        <w:t>Setup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Review the main canons of existing Colorado River management (Appendix A).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 xml:space="preserve">One participant downloads the Excel model file </w: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begin"/>
                      </w:r>
                      <w:r w:rsidRPr="003526A5">
                        <w:rPr>
                          <w:color w:val="323E4F" w:themeColor="text2" w:themeShade="BF"/>
                        </w:rPr>
                        <w:instrText xml:space="preserve"> ADDIN EN.CITE &lt;EndNote&gt;&lt;Cite&gt;&lt;Author&gt;Rosenberg&lt;/Author&gt;&lt;Year&gt;2021&lt;/Year&gt;&lt;RecNum&gt;2789&lt;/RecNum&gt;&lt;DisplayText&gt;(Rosenberg, 2021d)&lt;/DisplayText&gt;&lt;record&gt;&lt;rec-number&gt;2789&lt;/rec-number&gt;&lt;foreign-keys&gt;&lt;key app="EN" db-id="xxt5ta9pd995dwesap0pdzzp2weaz0w9werf" timestamp="1620873547"&gt;2789&lt;/key&gt;&lt;/foreign-keys&gt;&lt;ref-type name="Web Page"&gt;12&lt;/ref-type&gt;&lt;contributors&gt;&lt;authors&gt;&lt;author&gt;David E. Rosenberg&lt;/author&gt;&lt;/authors&gt;&lt;/contributors&gt;&lt;titles&gt;&lt;title&gt;Colorado River Coding: Pilot flex accounting to encourage more water conservation in a combined Lake Powell-Lake Mead system&lt;/title&gt;&lt;/titles&gt;&lt;dates&gt;&lt;year&gt;2021&lt;/year&gt;&lt;/dates&gt;&lt;publisher&gt;ModelMusings folder&lt;/publisher&gt;&lt;urls&gt;&lt;related-urls&gt;&lt;url&gt;https://doi.org/10.5281/zenodo.5522835&lt;/url&gt;&lt;/related-urls&gt;&lt;/ur</w:instrText>
                      </w:r>
                      <w:bookmarkStart w:id="1" w:name="_GoBack"/>
                      <w:bookmarkEnd w:id="1"/>
                      <w:r w:rsidRPr="003526A5">
                        <w:rPr>
                          <w:color w:val="323E4F" w:themeColor="text2" w:themeShade="BF"/>
                        </w:rPr>
                        <w:instrText>ls&gt;&lt;/record&gt;&lt;/Cite&gt;&lt;/EndNote&gt;</w:instrTex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separate"/>
                      </w:r>
                      <w:r w:rsidRPr="003526A5">
                        <w:rPr>
                          <w:noProof/>
                          <w:color w:val="323E4F" w:themeColor="text2" w:themeShade="BF"/>
                        </w:rPr>
                        <w:t>(Rosenberg, 2021d)</w:t>
                      </w:r>
                      <w:r w:rsidRPr="003526A5">
                        <w:rPr>
                          <w:color w:val="323E4F" w:themeColor="text2" w:themeShade="BF"/>
                        </w:rPr>
                        <w:fldChar w:fldCharType="end"/>
                      </w:r>
                      <w:r w:rsidRPr="003526A5">
                        <w:rPr>
                          <w:color w:val="323E4F" w:themeColor="text2" w:themeShade="B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Move the file to Google Drive.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Open in Google Sheets.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ind w:left="1260" w:hanging="180"/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>Share with other participants.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323E4F" w:themeColor="text2" w:themeShade="BF"/>
                        </w:rPr>
                      </w:pPr>
                      <w:r w:rsidRPr="003526A5">
                        <w:rPr>
                          <w:color w:val="323E4F" w:themeColor="text2" w:themeShade="BF"/>
                        </w:rPr>
                        <w:t xml:space="preserve">All participants open the </w:t>
                      </w:r>
                      <w:r w:rsidRPr="003526A5">
                        <w:rPr>
                          <w:i/>
                          <w:iCs/>
                          <w:color w:val="323E4F" w:themeColor="text2" w:themeShade="BF"/>
                        </w:rPr>
                        <w:t>Master</w:t>
                      </w:r>
                      <w:r w:rsidRPr="003526A5">
                        <w:rPr>
                          <w:color w:val="323E4F" w:themeColor="text2" w:themeShade="BF"/>
                        </w:rPr>
                        <w:t xml:space="preserve"> worksheet.</w:t>
                      </w:r>
                    </w:p>
                    <w:p w:rsidR="00AB6874" w:rsidRPr="003526A5" w:rsidRDefault="00AB6874" w:rsidP="00AB6874">
                      <w:pPr>
                        <w:rPr>
                          <w:b/>
                          <w:bCs/>
                          <w:color w:val="0000FF"/>
                        </w:rPr>
                      </w:pPr>
                      <w:r w:rsidRPr="003526A5">
                        <w:rPr>
                          <w:b/>
                          <w:bCs/>
                          <w:color w:val="0000FF"/>
                        </w:rPr>
                        <w:t>Play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C74261">
                        <w:rPr>
                          <w:color w:val="0000FF"/>
                        </w:rPr>
                        <w:t>Assign parties, person playing, and strategies (Step 1)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C74261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Sp</w:t>
                      </w:r>
                      <w:r w:rsidRPr="00C74261">
                        <w:rPr>
                          <w:color w:val="0000FF"/>
                        </w:rPr>
                        <w:t>ecify the natural to Lake Powell</w:t>
                      </w:r>
                      <w:r>
                        <w:rPr>
                          <w:color w:val="0000FF"/>
                        </w:rPr>
                        <w:t xml:space="preserve"> in Column C and work down</w:t>
                      </w:r>
                      <w:r w:rsidRPr="00C74261">
                        <w:rPr>
                          <w:color w:val="0000FF"/>
                        </w:rPr>
                        <w:t xml:space="preserve"> (Step 2)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3526A5">
                        <w:rPr>
                          <w:color w:val="0000FF"/>
                        </w:rPr>
                        <w:t>Players trade, conserve, and consume water (Step 5)</w:t>
                      </w:r>
                      <w:r>
                        <w:rPr>
                          <w:color w:val="0000FF"/>
                        </w:rPr>
                        <w:t>.</w:t>
                      </w:r>
                    </w:p>
                    <w:p w:rsidR="00AB6874" w:rsidRPr="003526A5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  <w:rPr>
                          <w:color w:val="0000FF"/>
                        </w:rPr>
                      </w:pPr>
                      <w:r w:rsidRPr="003526A5">
                        <w:rPr>
                          <w:color w:val="0000FF"/>
                        </w:rPr>
                        <w:t>Assign combined storage to Lake Powell and Lake Mead</w:t>
                      </w:r>
                      <w:r>
                        <w:rPr>
                          <w:color w:val="0000FF"/>
                        </w:rPr>
                        <w:t xml:space="preserve"> (Step 7).</w:t>
                      </w:r>
                    </w:p>
                    <w:p w:rsidR="00AB6874" w:rsidRDefault="00AB6874" w:rsidP="00AB687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720" w:hanging="270"/>
                      </w:pPr>
                      <w:r w:rsidRPr="003526A5">
                        <w:rPr>
                          <w:color w:val="0000FF"/>
                        </w:rPr>
                        <w:t>Go to Step #2, next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874" w:rsidRDefault="00AB68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05F1D" wp14:editId="55FDBAD8">
                <wp:simplePos x="0" y="0"/>
                <wp:positionH relativeFrom="column">
                  <wp:posOffset>-214630</wp:posOffset>
                </wp:positionH>
                <wp:positionV relativeFrom="paragraph">
                  <wp:posOffset>-387350</wp:posOffset>
                </wp:positionV>
                <wp:extent cx="5833472" cy="3864508"/>
                <wp:effectExtent l="0" t="0" r="1524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472" cy="38645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874" w:rsidRDefault="00AB6874" w:rsidP="00AB687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63F7">
                              <w:rPr>
                                <w:b/>
                                <w:bCs/>
                              </w:rPr>
                              <w:t xml:space="preserve">Box 2. Impacts to assign 65% of 13.8 </w:t>
                            </w:r>
                            <w:proofErr w:type="spellStart"/>
                            <w:r w:rsidRPr="002763F7">
                              <w:rPr>
                                <w:b/>
                                <w:bCs/>
                              </w:rPr>
                              <w:t>maf</w:t>
                            </w:r>
                            <w:proofErr w:type="spellEnd"/>
                            <w:r w:rsidRPr="002763F7">
                              <w:rPr>
                                <w:b/>
                                <w:bCs/>
                              </w:rPr>
                              <w:t xml:space="preserve"> combined storage to Lake Powell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5"/>
                              <w:gridCol w:w="5261"/>
                            </w:tblGrid>
                            <w:tr w:rsidR="00AB6874" w:rsidTr="0035691F">
                              <w:tc>
                                <w:tcPr>
                                  <w:tcW w:w="3545" w:type="dxa"/>
                                </w:tcPr>
                                <w:p w:rsidR="00AB6874" w:rsidRDefault="00AB6874" w:rsidP="0035691F">
                                  <w:r>
                                    <w:t xml:space="preserve">There is 13.8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of combined storage. The parties assigned 65% of the storage to Lake Powell. This leaves 9.0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in Lake Powell and 4.8 in Lake Mead. Both Powell and Mead are above their minimum power pool elevations of 3,490 and 955 feet.</w:t>
                                  </w:r>
                                </w:p>
                                <w:p w:rsidR="00AB6874" w:rsidRDefault="00AB6874" w:rsidP="0035691F"/>
                                <w:p w:rsidR="00AB6874" w:rsidRDefault="00AB6874" w:rsidP="0035691F">
                                  <w:r>
                                    <w:t xml:space="preserve">Lake Powell releases 2.8 </w:t>
                                  </w:r>
                                  <w:proofErr w:type="spellStart"/>
                                  <w:r>
                                    <w:t>maf</w:t>
                                  </w:r>
                                  <w:proofErr w:type="spellEnd"/>
                                  <w:r>
                                    <w:t xml:space="preserve"> to Lake Mead this year to achieve the specified storage volumes. The release water temperature is &lt; 18</w:t>
                                  </w:r>
                                  <w:r w:rsidRPr="002B1CAA"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 xml:space="preserve">C which may benefit the native, endangered fish of the </w:t>
                                  </w:r>
                                </w:p>
                              </w:tc>
                              <w:tc>
                                <w:tcPr>
                                  <w:tcW w:w="5261" w:type="dxa"/>
                                </w:tcPr>
                                <w:p w:rsidR="00AB6874" w:rsidRDefault="00AB6874" w:rsidP="0035691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0F9C7" wp14:editId="3A7B3151">
                                        <wp:extent cx="3203714" cy="2391833"/>
                                        <wp:effectExtent l="19050" t="19050" r="15875" b="2794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259" cy="24019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>Grand Canyon or they may face invasion from non-natives.</w:t>
                            </w:r>
                          </w:p>
                          <w:p w:rsidR="00AB6874" w:rsidRDefault="00AB6874" w:rsidP="00AB6874">
                            <w:pPr>
                              <w:ind w:left="90"/>
                            </w:pPr>
                            <w:r>
                              <w:t xml:space="preserve">A release water temperature will help tailwater trout (introduced) grow and incubate. Lake Powell will need to receive 85% of combined storage to raise the storage to 11.8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>, cool release temperatures, and increase the relative abundance of  native, endangered fish.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5F1D" id="_x0000_s1027" type="#_x0000_t202" style="position:absolute;margin-left:-16.9pt;margin-top:-30.5pt;width:459.35pt;height:30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" fillcolor="#fff2cc [663]">
                <v:textbox>
                  <w:txbxContent>
                    <w:p w:rsidR="00AB6874" w:rsidRDefault="00AB6874" w:rsidP="00AB6874">
                      <w:pPr>
                        <w:rPr>
                          <w:b/>
                          <w:bCs/>
                        </w:rPr>
                      </w:pPr>
                      <w:r w:rsidRPr="002763F7">
                        <w:rPr>
                          <w:b/>
                          <w:bCs/>
                        </w:rPr>
                        <w:t xml:space="preserve">Box 2. Impacts to assign 65% of 13.8 </w:t>
                      </w:r>
                      <w:proofErr w:type="spellStart"/>
                      <w:r w:rsidRPr="002763F7">
                        <w:rPr>
                          <w:b/>
                          <w:bCs/>
                        </w:rPr>
                        <w:t>maf</w:t>
                      </w:r>
                      <w:proofErr w:type="spellEnd"/>
                      <w:r w:rsidRPr="002763F7">
                        <w:rPr>
                          <w:b/>
                          <w:bCs/>
                        </w:rPr>
                        <w:t xml:space="preserve"> combined storage to Lake Powell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45"/>
                        <w:gridCol w:w="5261"/>
                      </w:tblGrid>
                      <w:tr w:rsidR="00AB6874" w:rsidTr="0035691F">
                        <w:tc>
                          <w:tcPr>
                            <w:tcW w:w="3545" w:type="dxa"/>
                          </w:tcPr>
                          <w:p w:rsidR="00AB6874" w:rsidRDefault="00AB6874" w:rsidP="0035691F">
                            <w:r>
                              <w:t xml:space="preserve">There is 13.8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of combined storage. The parties assigned 65% of the storage to Lake Powell. This leaves 9.0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in Lake Powell and 4.8 in Lake Mead. Both Powell and Mead are above their minimum power pool elevations of 3,490 and 955 feet.</w:t>
                            </w:r>
                          </w:p>
                          <w:p w:rsidR="00AB6874" w:rsidRDefault="00AB6874" w:rsidP="0035691F"/>
                          <w:p w:rsidR="00AB6874" w:rsidRDefault="00AB6874" w:rsidP="0035691F">
                            <w:r>
                              <w:t xml:space="preserve">Lake Powell releases 2.8 </w:t>
                            </w:r>
                            <w:proofErr w:type="spellStart"/>
                            <w:r>
                              <w:t>maf</w:t>
                            </w:r>
                            <w:proofErr w:type="spellEnd"/>
                            <w:r>
                              <w:t xml:space="preserve"> to Lake Mead this year to achieve the specified storage volumes. The release water temperature is &lt; 18</w:t>
                            </w:r>
                            <w:r w:rsidRPr="002B1CAA"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C which may benefit the native, endangered fish of the </w:t>
                            </w:r>
                          </w:p>
                        </w:tc>
                        <w:tc>
                          <w:tcPr>
                            <w:tcW w:w="5261" w:type="dxa"/>
                          </w:tcPr>
                          <w:p w:rsidR="00AB6874" w:rsidRDefault="00AB6874" w:rsidP="003569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0F9C7" wp14:editId="3A7B3151">
                                  <wp:extent cx="3203714" cy="2391833"/>
                                  <wp:effectExtent l="19050" t="19050" r="15875" b="279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259" cy="2401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AB6874" w:rsidRDefault="00AB6874" w:rsidP="00AB6874">
                      <w:pPr>
                        <w:ind w:left="90"/>
                      </w:pPr>
                      <w:r>
                        <w:t>Grand Canyon or they may face invasion from non-natives.</w:t>
                      </w:r>
                    </w:p>
                    <w:p w:rsidR="00AB6874" w:rsidRDefault="00AB6874" w:rsidP="00AB6874">
                      <w:pPr>
                        <w:ind w:left="90"/>
                      </w:pPr>
                      <w:r>
                        <w:t xml:space="preserve">A release water temperature will help tailwater trout (introduced) grow and incubate. Lake Powell will need to receive 85% of combined storage to raise the storage to 11.8 </w:t>
                      </w:r>
                      <w:proofErr w:type="spellStart"/>
                      <w:r>
                        <w:t>maf</w:t>
                      </w:r>
                      <w:proofErr w:type="spellEnd"/>
                      <w:r>
                        <w:t>, cool release temperatures, and increase the relative abundance of  native, endangered fish.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7B3BB1"/>
    <w:rsid w:val="00A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62B0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2021-10-11T05:45:00Z</dcterms:created>
  <dcterms:modified xsi:type="dcterms:W3CDTF">2021-10-11T05:47:00Z</dcterms:modified>
</cp:coreProperties>
</file>