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67AC8B5F"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0672FE6" w:rsidR="008C1CDE" w:rsidRDefault="002C5B36">
      <w:pPr>
        <w:rPr>
          <w:rFonts w:asciiTheme="majorBidi" w:hAnsiTheme="majorBidi" w:cstheme="majorBidi"/>
          <w:sz w:val="24"/>
          <w:szCs w:val="24"/>
        </w:rPr>
      </w:pPr>
      <w:r>
        <w:rPr>
          <w:rFonts w:asciiTheme="majorBidi" w:hAnsiTheme="majorBidi" w:cstheme="majorBidi"/>
          <w:sz w:val="24"/>
          <w:szCs w:val="24"/>
        </w:rPr>
        <w:t xml:space="preserve">August </w:t>
      </w:r>
      <w:r w:rsidR="00D15156">
        <w:rPr>
          <w:rFonts w:asciiTheme="majorBidi" w:hAnsiTheme="majorBidi" w:cstheme="majorBidi"/>
          <w:sz w:val="24"/>
          <w:szCs w:val="24"/>
        </w:rPr>
        <w:t>1</w:t>
      </w:r>
      <w:r w:rsidR="00E55F9D">
        <w:rPr>
          <w:rFonts w:asciiTheme="majorBidi" w:hAnsiTheme="majorBidi" w:cstheme="majorBidi"/>
          <w:sz w:val="24"/>
          <w:szCs w:val="24"/>
        </w:rPr>
        <w:t>6</w:t>
      </w:r>
      <w:r>
        <w:rPr>
          <w:rFonts w:asciiTheme="majorBidi" w:hAnsiTheme="majorBidi" w:cstheme="majorBidi"/>
          <w:sz w:val="24"/>
          <w:szCs w:val="24"/>
        </w:rPr>
        <w:t>, 2024</w:t>
      </w:r>
    </w:p>
    <w:p w14:paraId="47C3510C" w14:textId="4C325B5A"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t>
      </w:r>
      <w:r w:rsidR="005E2F17">
        <w:rPr>
          <w:rFonts w:asciiTheme="majorBidi" w:hAnsiTheme="majorBidi" w:cstheme="majorBidi"/>
          <w:b/>
          <w:bCs/>
          <w:sz w:val="24"/>
          <w:szCs w:val="24"/>
        </w:rPr>
        <w:t xml:space="preserve">to manage </w:t>
      </w:r>
      <w:r w:rsidR="008264F0">
        <w:rPr>
          <w:rFonts w:asciiTheme="majorBidi" w:hAnsiTheme="majorBidi" w:cstheme="majorBidi"/>
          <w:b/>
          <w:bCs/>
          <w:sz w:val="24"/>
          <w:szCs w:val="24"/>
        </w:rPr>
        <w:t>climate</w:t>
      </w:r>
      <w:r w:rsidR="005E2F17">
        <w:rPr>
          <w:rFonts w:asciiTheme="majorBidi" w:hAnsiTheme="majorBidi" w:cstheme="majorBidi"/>
          <w:b/>
          <w:bCs/>
          <w:sz w:val="24"/>
          <w:szCs w:val="24"/>
        </w:rPr>
        <w:t xml:space="preserve"> vulnerability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273DE48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program allows Lower Basin users to voluntarily reduce use from their historical allocation, keep the conserved water in Lake Mead, and withdraw the conserved water at a future point in time subject to some constraints. </w:t>
      </w:r>
      <w:r w:rsidR="00A8534E">
        <w:rPr>
          <w:rFonts w:asciiTheme="majorBidi" w:hAnsiTheme="majorBidi" w:cstheme="majorBidi"/>
          <w:sz w:val="24"/>
          <w:szCs w:val="24"/>
        </w:rPr>
        <w:t xml:space="preserve">This adaptivity allows Lower Basin users to more autonomously manage their climate vulnerability. </w:t>
      </w:r>
      <w:r w:rsidRPr="00B35471">
        <w:rPr>
          <w:rFonts w:asciiTheme="majorBidi" w:hAnsiTheme="majorBidi" w:cstheme="majorBidi"/>
          <w:sz w:val="24"/>
          <w:szCs w:val="24"/>
        </w:rPr>
        <w:t>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climate vulnerability.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F1593B">
        <w:rPr>
          <w:rFonts w:asciiTheme="majorBidi" w:hAnsiTheme="majorBidi" w:cstheme="majorBidi"/>
          <w:sz w:val="24"/>
          <w:szCs w:val="24"/>
        </w:rPr>
        <w:t>7</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climate vulnerability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w:t>
      </w:r>
      <w:r w:rsidR="00E80FCA">
        <w:rPr>
          <w:rFonts w:asciiTheme="majorBidi" w:hAnsiTheme="majorBidi" w:cstheme="majorBidi"/>
          <w:sz w:val="24"/>
          <w:szCs w:val="24"/>
        </w:rPr>
        <w:t xml:space="preserve">More sustainability and 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3F98690A"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Pr="00A8534E">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(Allaire and Acquah, 2022; Meehan et al., 2020;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BB35C50" w14:textId="73E81B7D" w:rsidR="007C519F" w:rsidRDefault="00DA0F48" w:rsidP="00B35471">
      <w:pPr>
        <w:rPr>
          <w:rFonts w:asciiTheme="majorBidi" w:hAnsiTheme="majorBidi" w:cstheme="majorBidi"/>
          <w:sz w:val="24"/>
          <w:szCs w:val="24"/>
        </w:rPr>
      </w:pPr>
      <w:r>
        <w:rPr>
          <w:rFonts w:asciiTheme="majorBidi" w:hAnsiTheme="majorBidi" w:cstheme="majorBidi"/>
          <w:sz w:val="24"/>
          <w:szCs w:val="24"/>
        </w:rPr>
        <w:lastRenderedPageBreak/>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w:t>
      </w:r>
      <w:r w:rsidR="0002747C">
        <w:rPr>
          <w:rFonts w:asciiTheme="majorBidi" w:hAnsiTheme="majorBidi" w:cstheme="majorBidi"/>
          <w:sz w:val="24"/>
          <w:szCs w:val="24"/>
        </w:rPr>
        <w:t>v</w:t>
      </w:r>
      <w:r w:rsidR="00C9627B">
        <w:rPr>
          <w:rFonts w:asciiTheme="majorBidi" w:hAnsiTheme="majorBidi" w:cstheme="majorBidi"/>
          <w:sz w:val="24"/>
          <w:szCs w:val="24"/>
        </w:rPr>
        <w:t xml:space="preserve">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7C1DBF84" w14:textId="5E045D6D" w:rsidR="0002747C" w:rsidRDefault="0002747C" w:rsidP="0002747C">
      <w:pPr>
        <w:pStyle w:val="Heading1"/>
      </w:pPr>
      <w:r>
        <w:t>Program Examples</w:t>
      </w:r>
    </w:p>
    <w:p w14:paraId="434942D6" w14:textId="5574E5BC" w:rsidR="00B35471" w:rsidRPr="00B35471" w:rsidRDefault="005E2F17" w:rsidP="00D46331">
      <w:pPr>
        <w:rPr>
          <w:rFonts w:asciiTheme="majorBidi" w:hAnsiTheme="majorBidi" w:cstheme="majorBidi"/>
          <w:sz w:val="24"/>
          <w:szCs w:val="24"/>
        </w:rPr>
      </w:pPr>
      <w:r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38249DE9">
                <wp:simplePos x="0" y="0"/>
                <wp:positionH relativeFrom="column">
                  <wp:posOffset>2516505</wp:posOffset>
                </wp:positionH>
                <wp:positionV relativeFrom="paragraph">
                  <wp:posOffset>0</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0;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491F9D">
        <w:rPr>
          <w:rFonts w:asciiTheme="majorBidi" w:hAnsiTheme="majorBidi" w:cstheme="majorBidi"/>
          <w:sz w:val="24"/>
          <w:szCs w:val="24"/>
        </w:rPr>
        <w:t xml:space="preserve">I find it helpful to describe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Pr>
          <w:rFonts w:asciiTheme="majorBidi" w:hAnsiTheme="majorBidi" w:cstheme="majorBidi"/>
          <w:sz w:val="24"/>
          <w:szCs w:val="24"/>
        </w:rPr>
        <w:t xml:space="preserve">. Withdraws below a historical allocation is a </w:t>
      </w:r>
      <w:r w:rsidR="00491F9D">
        <w:rPr>
          <w:rFonts w:asciiTheme="majorBidi" w:hAnsiTheme="majorBidi" w:cstheme="majorBidi"/>
          <w:sz w:val="24"/>
          <w:szCs w:val="24"/>
        </w:rPr>
        <w:t>water conservation account credit</w:t>
      </w:r>
      <w:r>
        <w:rPr>
          <w:rFonts w:asciiTheme="majorBidi" w:hAnsiTheme="majorBidi" w:cstheme="majorBidi"/>
          <w:sz w:val="24"/>
          <w:szCs w:val="24"/>
        </w:rPr>
        <w:t xml:space="preserve"> while a withdraw above a historical allocation is an account</w:t>
      </w:r>
      <w:r w:rsidR="00491F9D">
        <w:rPr>
          <w:rFonts w:asciiTheme="majorBidi" w:hAnsiTheme="majorBidi" w:cstheme="majorBidi"/>
          <w:sz w:val="24"/>
          <w:szCs w:val="24"/>
        </w:rPr>
        <w:t xml:space="preserve"> debit</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D284F2E"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lastRenderedPageBreak/>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51193BC8"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D967F6">
        <w:rPr>
          <w:rFonts w:asciiTheme="majorBidi" w:hAnsiTheme="majorBidi" w:cstheme="majorBidi"/>
          <w:b/>
          <w:bCs/>
          <w:noProof/>
          <w:sz w:val="24"/>
          <w:szCs w:val="24"/>
        </w:rPr>
        <mc:AlternateContent>
          <mc:Choice Requires="wps">
            <w:drawing>
              <wp:anchor distT="45720" distB="45720" distL="114300" distR="114300" simplePos="0" relativeHeight="251667456" behindDoc="0" locked="0" layoutInCell="1" allowOverlap="1" wp14:anchorId="34A06FCF" wp14:editId="50175580">
                <wp:simplePos x="0" y="0"/>
                <wp:positionH relativeFrom="margin">
                  <wp:align>left</wp:align>
                </wp:positionH>
                <wp:positionV relativeFrom="page">
                  <wp:posOffset>998634</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06FCF" id="_x0000_s1027" type="#_x0000_t202" style="position:absolute;margin-left:0;margin-top:78.65pt;width:455.35pt;height:15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v:textbox>
                <w10:wrap type="square" anchorx="margin" anchory="page"/>
              </v:shape>
            </w:pict>
          </mc:Fallback>
        </mc:AlternateConten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77088F82"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7AEE1EC6"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lastRenderedPageBreak/>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2FFA55F9" w14:textId="413D1733"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lastRenderedPageBreak/>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6FC1B34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736D8921"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sidR="00B767B9">
        <w:rPr>
          <w:rFonts w:asciiTheme="majorBidi" w:hAnsiTheme="majorBidi" w:cstheme="majorBidi"/>
          <w:sz w:val="24"/>
          <w:szCs w:val="24"/>
        </w:rPr>
        <w:t>Put another way: the Lower Basin states loaned the Colorado River system 3.3 million acre-feet of water. The states will want to call in the loan at some point.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xml:space="preserve">. When Lake Mead is near the trigger elevation that prohibits debits, states cannot access their prior conserved water. The asset is unavailable. This situation </w:t>
      </w:r>
      <w:r w:rsidRPr="000F6C72">
        <w:rPr>
          <w:rFonts w:asciiTheme="majorBidi" w:hAnsiTheme="majorBidi" w:cstheme="majorBidi"/>
          <w:sz w:val="24"/>
          <w:szCs w:val="24"/>
        </w:rPr>
        <w:lastRenderedPageBreak/>
        <w:t>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25CB7239"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w:t>
      </w:r>
      <w:r w:rsidR="00B767B9">
        <w:rPr>
          <w:rFonts w:asciiTheme="majorBidi" w:hAnsiTheme="majorBidi" w:cstheme="majorBidi"/>
          <w:sz w:val="24"/>
          <w:szCs w:val="24"/>
        </w:rPr>
        <w:t>,</w:t>
      </w:r>
      <w:r w:rsidRPr="000F6C72">
        <w:rPr>
          <w:rFonts w:asciiTheme="majorBidi" w:hAnsiTheme="majorBidi" w:cstheme="majorBidi"/>
          <w:sz w:val="24"/>
          <w:szCs w:val="24"/>
        </w:rPr>
        <w:t>020</w:t>
      </w:r>
      <w:r w:rsidR="00B767B9">
        <w:rPr>
          <w:rFonts w:asciiTheme="majorBidi" w:hAnsiTheme="majorBidi" w:cstheme="majorBidi"/>
          <w:sz w:val="24"/>
          <w:szCs w:val="24"/>
        </w:rPr>
        <w:t xml:space="preserve"> feet</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30B5235C"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w:t>
      </w:r>
    </w:p>
    <w:p w14:paraId="03B15518" w14:textId="5EC57975" w:rsidR="003A6668" w:rsidRPr="000F6C72" w:rsidRDefault="003A6668" w:rsidP="003A6668">
      <w:pPr>
        <w:pStyle w:val="ListParagraph"/>
        <w:ind w:left="1440"/>
        <w:rPr>
          <w:rFonts w:asciiTheme="majorBidi" w:hAnsiTheme="majorBidi" w:cstheme="majorBidi"/>
          <w:sz w:val="24"/>
          <w:szCs w:val="24"/>
        </w:rPr>
      </w:pPr>
    </w:p>
    <w:p w14:paraId="1CB11B06" w14:textId="27F94E97"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61176767" w:rsidR="003A6668" w:rsidRPr="000F6C72" w:rsidRDefault="003A6668" w:rsidP="003A6668">
      <w:pPr>
        <w:pStyle w:val="ListParagraph"/>
        <w:rPr>
          <w:rFonts w:asciiTheme="majorBidi" w:hAnsiTheme="majorBidi" w:cstheme="majorBidi"/>
          <w:sz w:val="24"/>
          <w:szCs w:val="24"/>
        </w:rPr>
      </w:pPr>
    </w:p>
    <w:p w14:paraId="51666F9F" w14:textId="301A5F0F" w:rsidR="00B35471" w:rsidRPr="000F6C72" w:rsidRDefault="00B767B9" w:rsidP="000F6C72">
      <w:pPr>
        <w:pStyle w:val="ListParagraph"/>
        <w:numPr>
          <w:ilvl w:val="0"/>
          <w:numId w:val="17"/>
        </w:numPr>
        <w:rPr>
          <w:rFonts w:asciiTheme="majorBidi" w:hAnsiTheme="majorBidi" w:cstheme="majorBidi"/>
          <w:sz w:val="24"/>
          <w:szCs w:val="24"/>
        </w:rPr>
      </w:pPr>
      <w:r w:rsidRPr="00B767B9">
        <w:rPr>
          <w:rFonts w:asciiTheme="majorBidi" w:hAnsiTheme="majorBidi" w:cstheme="majorBidi"/>
          <w:b/>
          <w:bCs/>
          <w:noProof/>
          <w:sz w:val="24"/>
          <w:szCs w:val="24"/>
        </w:rPr>
        <w:lastRenderedPageBreak/>
        <mc:AlternateContent>
          <mc:Choice Requires="wps">
            <w:drawing>
              <wp:anchor distT="45720" distB="45720" distL="114300" distR="114300" simplePos="0" relativeHeight="251665408" behindDoc="0" locked="0" layoutInCell="1" allowOverlap="1" wp14:anchorId="2F9598B2" wp14:editId="24B24107">
                <wp:simplePos x="0" y="0"/>
                <wp:positionH relativeFrom="column">
                  <wp:posOffset>2378075</wp:posOffset>
                </wp:positionH>
                <wp:positionV relativeFrom="paragraph">
                  <wp:posOffset>110490</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98B2" id="_x0000_s1028" type="#_x0000_t202" style="position:absolute;left:0;text-align:left;margin-left:187.25pt;margin-top:8.7pt;width:267.75pt;height:23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">
                <v:textbo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v:textbox>
                <w10:wrap type="square"/>
              </v:shape>
            </w:pict>
          </mc:Fallback>
        </mc:AlternateContent>
      </w:r>
      <w:r w:rsidR="00B35471" w:rsidRPr="003A6668">
        <w:rPr>
          <w:rFonts w:asciiTheme="majorBidi" w:hAnsiTheme="majorBidi" w:cstheme="majorBidi"/>
          <w:b/>
          <w:bCs/>
          <w:sz w:val="24"/>
          <w:szCs w:val="24"/>
        </w:rPr>
        <w:t>Lake Mead continues to draw down</w:t>
      </w:r>
      <w:r w:rsidR="00B35471"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00B35471" w:rsidRPr="000F6C72">
        <w:rPr>
          <w:rFonts w:asciiTheme="majorBidi" w:hAnsiTheme="majorBidi" w:cstheme="majorBidi"/>
          <w:sz w:val="24"/>
          <w:szCs w:val="24"/>
        </w:rPr>
        <w:t>ppened over the past decade! This scenario occurs when Lake Mead inflows minus evaporation are less than historical allocation</w:t>
      </w:r>
      <w:r w:rsidR="005847F9">
        <w:rPr>
          <w:rFonts w:asciiTheme="majorBidi" w:hAnsiTheme="majorBidi" w:cstheme="majorBidi"/>
          <w:sz w:val="24"/>
          <w:szCs w:val="24"/>
        </w:rPr>
        <w:t>s</w:t>
      </w:r>
      <w:r w:rsidR="00B35471"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00B35471" w:rsidRPr="000F6C72">
        <w:rPr>
          <w:rFonts w:asciiTheme="majorBidi" w:hAnsiTheme="majorBidi" w:cstheme="majorBidi"/>
          <w:sz w:val="24"/>
          <w:szCs w:val="24"/>
        </w:rPr>
        <w:t xml:space="preserve"> </w:t>
      </w:r>
      <w:r w:rsidR="003A6668">
        <w:rPr>
          <w:rFonts w:asciiTheme="majorBidi" w:hAnsiTheme="majorBidi" w:cstheme="majorBidi"/>
          <w:sz w:val="24"/>
          <w:szCs w:val="24"/>
        </w:rPr>
        <w:t>million acre-feet of th</w:t>
      </w:r>
      <w:r w:rsidR="00B35471"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00B35471"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 xml:space="preserve">program conservation efforts were credited </w:t>
      </w:r>
      <w:r w:rsidR="005847F9">
        <w:rPr>
          <w:rFonts w:asciiTheme="majorBidi" w:hAnsiTheme="majorBidi" w:cstheme="majorBidi"/>
          <w:sz w:val="24"/>
          <w:szCs w:val="24"/>
        </w:rPr>
        <w:t xml:space="preserve">when sufficient </w:t>
      </w:r>
      <w:r w:rsidR="003A6668">
        <w:rPr>
          <w:rFonts w:asciiTheme="majorBidi" w:hAnsiTheme="majorBidi" w:cstheme="majorBidi"/>
          <w:sz w:val="24"/>
          <w:szCs w:val="24"/>
        </w:rPr>
        <w:t>water did not flow into Lake Mead (Figure 4)</w:t>
      </w:r>
      <w:r w:rsidR="00B35471" w:rsidRPr="000F6C72">
        <w:rPr>
          <w:rFonts w:asciiTheme="majorBidi" w:hAnsiTheme="majorBidi" w:cstheme="majorBidi"/>
          <w:sz w:val="24"/>
          <w:szCs w:val="24"/>
        </w:rPr>
        <w:t>.</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6FF47DC0"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These insights increase water user autonomy while leverage prior negotiations</w:t>
      </w:r>
      <w:r w:rsidRPr="00B35471">
        <w:rPr>
          <w:rFonts w:asciiTheme="majorBidi" w:hAnsiTheme="majorBidi" w:cstheme="majorBidi"/>
          <w:sz w:val="24"/>
          <w:szCs w:val="24"/>
        </w:rPr>
        <w:t xml:space="preserve">. </w:t>
      </w:r>
      <w:r w:rsidR="00B767B9">
        <w:rPr>
          <w:rFonts w:asciiTheme="majorBidi" w:hAnsiTheme="majorBidi" w:cstheme="majorBidi"/>
          <w:sz w:val="24"/>
          <w:szCs w:val="24"/>
        </w:rPr>
        <w:t>The insights also allow users to more independently manage their vulnerabilities.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w:t>
      </w:r>
      <w:r w:rsidRPr="003A6668">
        <w:rPr>
          <w:rFonts w:asciiTheme="majorBidi" w:hAnsiTheme="majorBidi" w:cstheme="majorBidi"/>
          <w:sz w:val="24"/>
          <w:szCs w:val="24"/>
        </w:rPr>
        <w:lastRenderedPageBreak/>
        <w:t>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77DBAA5D" w:rsidR="00B35471" w:rsidRDefault="00A62151" w:rsidP="00EF1946">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61826E27" wp14:editId="6BDC1DE2">
                <wp:simplePos x="0" y="0"/>
                <wp:positionH relativeFrom="margin">
                  <wp:posOffset>2684145</wp:posOffset>
                </wp:positionH>
                <wp:positionV relativeFrom="margin">
                  <wp:posOffset>2762250</wp:posOffset>
                </wp:positionV>
                <wp:extent cx="3342640" cy="5285740"/>
                <wp:effectExtent l="0" t="0" r="10160" b="10160"/>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5285740"/>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9" type="#_x0000_t202" style="position:absolute;left:0;text-align:left;margin-left:211.35pt;margin-top:217.5pt;width:263.2pt;height:416.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" fillcolor="#fff2cc [663]">
                <v:textbo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B35471"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00B35471"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00B35471"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00B35471"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00B35471"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00B35471"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00B35471"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00B35471"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00B35471"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4003EDAC" w:rsidR="00B35471" w:rsidRPr="00864484" w:rsidRDefault="00B35471" w:rsidP="00864484">
      <w:pPr>
        <w:pStyle w:val="ListParagraph"/>
        <w:numPr>
          <w:ilvl w:val="0"/>
          <w:numId w:val="19"/>
        </w:numPr>
        <w:rPr>
          <w:rFonts w:asciiTheme="majorBidi" w:hAnsiTheme="majorBidi" w:cstheme="majorBidi"/>
          <w:sz w:val="24"/>
          <w:szCs w:val="24"/>
        </w:rPr>
      </w:pPr>
      <w:r w:rsidRPr="00864484">
        <w:rPr>
          <w:rFonts w:asciiTheme="majorBidi" w:hAnsiTheme="majorBidi" w:cstheme="majorBidi"/>
          <w:b/>
          <w:bCs/>
          <w:sz w:val="24"/>
          <w:szCs w:val="24"/>
        </w:rPr>
        <w:t>Switch from water conservation accounting to water accounting</w:t>
      </w:r>
      <w:r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Pr="00864484">
        <w:rPr>
          <w:rFonts w:asciiTheme="majorBidi" w:hAnsiTheme="majorBidi" w:cstheme="majorBidi"/>
          <w:sz w:val="24"/>
          <w:szCs w:val="24"/>
        </w:rPr>
        <w:t>vaporation</w:t>
      </w:r>
      <w:r w:rsidR="00864484">
        <w:rPr>
          <w:rFonts w:asciiTheme="majorBidi" w:hAnsiTheme="majorBidi" w:cstheme="majorBidi"/>
          <w:sz w:val="24"/>
          <w:szCs w:val="24"/>
        </w:rPr>
        <w:t>―</w:t>
      </w:r>
      <w:r w:rsidRPr="00864484">
        <w:rPr>
          <w:rFonts w:asciiTheme="majorBidi" w:hAnsiTheme="majorBidi" w:cstheme="majorBidi"/>
          <w:sz w:val="24"/>
          <w:szCs w:val="24"/>
        </w:rPr>
        <w:t>rather than divid</w:t>
      </w:r>
      <w:r w:rsidR="00A62151">
        <w:rPr>
          <w:rFonts w:asciiTheme="majorBidi" w:hAnsiTheme="majorBidi" w:cstheme="majorBidi"/>
          <w:sz w:val="24"/>
          <w:szCs w:val="24"/>
        </w:rPr>
        <w:t>e</w:t>
      </w:r>
      <w:r w:rsidRPr="00864484">
        <w:rPr>
          <w:rFonts w:asciiTheme="majorBidi" w:hAnsiTheme="majorBidi" w:cstheme="majorBidi"/>
          <w:sz w:val="24"/>
          <w:szCs w:val="24"/>
        </w:rPr>
        <w:t xml:space="preserve"> larger </w:t>
      </w:r>
      <w:r w:rsidR="00F76F7A">
        <w:rPr>
          <w:rFonts w:asciiTheme="majorBidi" w:hAnsiTheme="majorBidi" w:cstheme="majorBidi"/>
          <w:sz w:val="24"/>
          <w:szCs w:val="24"/>
        </w:rPr>
        <w:t xml:space="preserve">mandatory </w:t>
      </w:r>
      <w:r w:rsidRPr="00864484">
        <w:rPr>
          <w:rFonts w:asciiTheme="majorBidi" w:hAnsiTheme="majorBidi" w:cstheme="majorBidi"/>
          <w:sz w:val="24"/>
          <w:szCs w:val="24"/>
        </w:rPr>
        <w:t xml:space="preserve">shortages tied to declining reservoir storage. </w:t>
      </w:r>
      <w:r w:rsidR="00DC3CB0">
        <w:rPr>
          <w:rFonts w:asciiTheme="majorBidi" w:hAnsiTheme="majorBidi" w:cstheme="majorBidi"/>
          <w:sz w:val="24"/>
          <w:szCs w:val="24"/>
        </w:rPr>
        <w:t xml:space="preserve">Lake Mead active storage </w:t>
      </w:r>
      <w:r w:rsidR="00AC4216">
        <w:rPr>
          <w:rFonts w:asciiTheme="majorBidi" w:hAnsiTheme="majorBidi" w:cstheme="majorBidi"/>
          <w:sz w:val="24"/>
          <w:szCs w:val="24"/>
        </w:rPr>
        <w:t>becomes</w:t>
      </w:r>
      <w:r w:rsidR="00DC3CB0">
        <w:rPr>
          <w:rFonts w:asciiTheme="majorBidi" w:hAnsiTheme="majorBidi" w:cstheme="majorBidi"/>
          <w:sz w:val="24"/>
          <w:szCs w:val="24"/>
        </w:rPr>
        <w:t xml:space="preserve"> the protection volume plus the sum of all water user account balances. </w:t>
      </w:r>
      <w:r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Pr="00864484">
        <w:rPr>
          <w:rFonts w:asciiTheme="majorBidi" w:hAnsiTheme="majorBidi" w:cstheme="majorBidi"/>
          <w:sz w:val="24"/>
          <w:szCs w:val="24"/>
        </w:rPr>
        <w:t xml:space="preserve">up to </w:t>
      </w:r>
      <w:r w:rsidR="00A62151">
        <w:rPr>
          <w:rFonts w:asciiTheme="majorBidi" w:hAnsiTheme="majorBidi" w:cstheme="majorBidi"/>
          <w:sz w:val="24"/>
          <w:szCs w:val="24"/>
        </w:rPr>
        <w:t xml:space="preserve">their </w:t>
      </w:r>
      <w:r w:rsidR="00DC3CB0">
        <w:rPr>
          <w:rFonts w:asciiTheme="majorBidi" w:hAnsiTheme="majorBidi" w:cstheme="majorBidi"/>
          <w:sz w:val="24"/>
          <w:szCs w:val="24"/>
        </w:rPr>
        <w:t>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Pr="00864484">
        <w:rPr>
          <w:rFonts w:asciiTheme="majorBidi" w:hAnsiTheme="majorBidi" w:cstheme="majorBidi"/>
          <w:sz w:val="24"/>
          <w:szCs w:val="24"/>
        </w:rPr>
        <w:t>ccounts allow users to carry over water to the next year. Users can access</w:t>
      </w:r>
      <w:r w:rsidR="0008147F">
        <w:rPr>
          <w:rFonts w:asciiTheme="majorBidi" w:hAnsiTheme="majorBidi" w:cstheme="majorBidi"/>
          <w:sz w:val="24"/>
          <w:szCs w:val="24"/>
        </w:rPr>
        <w:t xml:space="preserve"> all of</w:t>
      </w:r>
      <w:r w:rsidRPr="00864484">
        <w:rPr>
          <w:rFonts w:asciiTheme="majorBidi" w:hAnsiTheme="majorBidi" w:cstheme="majorBidi"/>
          <w:sz w:val="24"/>
          <w:szCs w:val="24"/>
        </w:rPr>
        <w:t xml:space="preserve"> their prior conserved water at any time in any amount (rollover). </w:t>
      </w:r>
      <w:r w:rsidR="00DC3CB0">
        <w:rPr>
          <w:rFonts w:asciiTheme="majorBidi" w:hAnsiTheme="majorBidi" w:cstheme="majorBidi"/>
          <w:sz w:val="24"/>
          <w:szCs w:val="24"/>
        </w:rPr>
        <w:t>The</w:t>
      </w:r>
      <w:r w:rsidR="00F56041">
        <w:rPr>
          <w:rFonts w:asciiTheme="majorBidi" w:hAnsiTheme="majorBidi" w:cstheme="majorBidi"/>
          <w:sz w:val="24"/>
          <w:szCs w:val="24"/>
        </w:rPr>
        <w:t xml:space="preserve"> water accounting preserves the protection volume and ther</w:t>
      </w:r>
      <w:r w:rsidR="00DC3CB0">
        <w:rPr>
          <w:rFonts w:asciiTheme="majorBidi" w:hAnsiTheme="majorBidi" w:cstheme="majorBidi"/>
          <w:sz w:val="24"/>
          <w:szCs w:val="24"/>
        </w:rPr>
        <w:t>e is no trigger to prohibit debits</w:t>
      </w:r>
      <w:r w:rsidR="00CC01A9">
        <w:rPr>
          <w:rFonts w:asciiTheme="majorBidi" w:hAnsiTheme="majorBidi" w:cstheme="majorBidi"/>
          <w:sz w:val="24"/>
          <w:szCs w:val="24"/>
        </w:rPr>
        <w:t xml:space="preserve"> </w:t>
      </w:r>
      <w:r w:rsidR="00CC01A9">
        <w:rPr>
          <w:rFonts w:asciiTheme="majorBidi" w:hAnsiTheme="majorBidi" w:cstheme="majorBidi"/>
          <w:sz w:val="24"/>
          <w:szCs w:val="24"/>
        </w:rPr>
        <w:lastRenderedPageBreak/>
        <w:t xml:space="preserve">because water account balances must always </w:t>
      </w:r>
      <w:r w:rsidR="00F56041">
        <w:rPr>
          <w:rFonts w:asciiTheme="majorBidi" w:hAnsiTheme="majorBidi" w:cstheme="majorBidi"/>
          <w:sz w:val="24"/>
          <w:szCs w:val="24"/>
        </w:rPr>
        <w:t>be zero or</w:t>
      </w:r>
      <w:r w:rsidR="00CC01A9">
        <w:rPr>
          <w:rFonts w:asciiTheme="majorBidi" w:hAnsiTheme="majorBidi" w:cstheme="majorBidi"/>
          <w:sz w:val="24"/>
          <w:szCs w:val="24"/>
        </w:rPr>
        <w:t xml:space="preserve"> pos</w:t>
      </w:r>
      <w:r w:rsidR="00637BF7">
        <w:rPr>
          <w:rFonts w:asciiTheme="majorBidi" w:hAnsiTheme="majorBidi" w:cstheme="majorBidi"/>
          <w:sz w:val="24"/>
          <w:szCs w:val="24"/>
        </w:rPr>
        <w:t>i</w:t>
      </w:r>
      <w:r w:rsidR="00CC01A9">
        <w:rPr>
          <w:rFonts w:asciiTheme="majorBidi" w:hAnsiTheme="majorBidi" w:cstheme="majorBidi"/>
          <w:sz w:val="24"/>
          <w:szCs w:val="24"/>
        </w:rPr>
        <w:t>tive</w:t>
      </w:r>
      <w:r w:rsidR="00DC3CB0">
        <w:rPr>
          <w:rFonts w:asciiTheme="majorBidi" w:hAnsiTheme="majorBidi" w:cstheme="majorBidi"/>
          <w:sz w:val="24"/>
          <w:szCs w:val="24"/>
        </w:rPr>
        <w:t xml:space="preserve">. </w:t>
      </w:r>
      <w:r w:rsidR="00637BF7">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sidR="00AC4216">
        <w:rPr>
          <w:rFonts w:asciiTheme="majorBidi" w:hAnsiTheme="majorBidi" w:cstheme="majorBidi"/>
          <w:sz w:val="24"/>
          <w:szCs w:val="24"/>
        </w:rPr>
        <w:t xml:space="preserve">agreements, </w:t>
      </w:r>
      <w:r w:rsidR="00CC01A9">
        <w:rPr>
          <w:rFonts w:asciiTheme="majorBidi" w:hAnsiTheme="majorBidi" w:cstheme="majorBidi"/>
          <w:sz w:val="24"/>
          <w:szCs w:val="24"/>
        </w:rPr>
        <w:t>including the recent</w:t>
      </w:r>
      <w:r w:rsidR="00AC4216">
        <w:rPr>
          <w:rFonts w:asciiTheme="majorBidi" w:hAnsiTheme="majorBidi" w:cstheme="majorBidi"/>
          <w:sz w:val="24"/>
          <w:szCs w:val="24"/>
        </w:rPr>
        <w:t xml:space="preserve"> Lower Basin </w:t>
      </w:r>
      <w:r w:rsidR="00EB59B8">
        <w:rPr>
          <w:rFonts w:asciiTheme="majorBidi" w:hAnsiTheme="majorBidi" w:cstheme="majorBidi"/>
          <w:sz w:val="24"/>
          <w:szCs w:val="24"/>
        </w:rPr>
        <w:t>A</w:t>
      </w:r>
      <w:r w:rsidR="00AC4216">
        <w:rPr>
          <w:rFonts w:asciiTheme="majorBidi" w:hAnsiTheme="majorBidi" w:cstheme="majorBidi"/>
          <w:sz w:val="24"/>
          <w:szCs w:val="24"/>
        </w:rPr>
        <w:t>lternative</w:t>
      </w:r>
      <w:r w:rsidR="00CC01A9">
        <w:rPr>
          <w:rFonts w:asciiTheme="majorBidi" w:hAnsiTheme="majorBidi" w:cstheme="majorBidi"/>
          <w:sz w:val="24"/>
          <w:szCs w:val="24"/>
        </w:rPr>
        <w:t xml:space="preserve"> </w:t>
      </w:r>
      <w:r w:rsidR="00F56041">
        <w:rPr>
          <w:rFonts w:asciiTheme="majorBidi" w:hAnsiTheme="majorBidi" w:cstheme="majorBidi"/>
          <w:sz w:val="24"/>
          <w:szCs w:val="24"/>
        </w:rPr>
        <w:fldChar w:fldCharType="begin"/>
      </w:r>
      <w:r w:rsidR="00B459BA">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4"/>
          <w:szCs w:val="24"/>
        </w:rPr>
        <w:fldChar w:fldCharType="separate"/>
      </w:r>
      <w:r w:rsidR="00B459BA">
        <w:rPr>
          <w:rFonts w:asciiTheme="majorBidi" w:hAnsiTheme="majorBidi" w:cstheme="majorBidi"/>
          <w:noProof/>
          <w:sz w:val="24"/>
          <w:szCs w:val="24"/>
        </w:rPr>
        <w:t>(Buschatzke et al., 2024)</w:t>
      </w:r>
      <w:r w:rsidR="00F56041">
        <w:rPr>
          <w:rFonts w:asciiTheme="majorBidi" w:hAnsiTheme="majorBidi" w:cstheme="majorBidi"/>
          <w:sz w:val="24"/>
          <w:szCs w:val="24"/>
        </w:rPr>
        <w:fldChar w:fldCharType="end"/>
      </w:r>
      <w:r w:rsidR="00AC4216">
        <w:rPr>
          <w:rFonts w:asciiTheme="majorBidi" w:hAnsiTheme="majorBidi" w:cstheme="majorBidi"/>
          <w:sz w:val="24"/>
          <w:szCs w:val="24"/>
        </w:rPr>
        <w:t>.</w:t>
      </w:r>
      <w:r w:rsidR="00A62151">
        <w:rPr>
          <w:rFonts w:asciiTheme="majorBidi" w:hAnsiTheme="majorBidi" w:cstheme="majorBidi"/>
          <w:sz w:val="24"/>
          <w:szCs w:val="24"/>
        </w:rPr>
        <w:t xml:space="preserve"> A user’s share of the available water is their historical allocation minus the agreed-on shortage volume (Appendix A)</w:t>
      </w:r>
      <w:r w:rsidR="006756E3">
        <w:rPr>
          <w:rFonts w:asciiTheme="majorBidi" w:hAnsiTheme="majorBidi" w:cstheme="majorBidi"/>
          <w:sz w:val="24"/>
          <w:szCs w:val="24"/>
        </w:rPr>
        <w:t xml:space="preserve">. </w:t>
      </w:r>
      <w:r w:rsidR="00F76F7A">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sidR="00D70F6C">
        <w:rPr>
          <w:rFonts w:asciiTheme="majorBidi" w:hAnsiTheme="majorBidi" w:cstheme="majorBidi"/>
          <w:sz w:val="24"/>
          <w:szCs w:val="24"/>
        </w:rPr>
        <w:t>r</w:t>
      </w:r>
      <w:r w:rsidRPr="00864484">
        <w:rPr>
          <w:rFonts w:asciiTheme="majorBidi" w:hAnsiTheme="majorBidi" w:cstheme="majorBidi"/>
          <w:sz w:val="24"/>
          <w:szCs w:val="24"/>
        </w:rPr>
        <w:t xml:space="preserve">iver </w:t>
      </w:r>
      <w:r w:rsidR="00F76F7A">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The accounting </w:t>
      </w:r>
      <w:r w:rsidR="0008147F">
        <w:rPr>
          <w:rFonts w:asciiTheme="majorBidi" w:hAnsiTheme="majorBidi" w:cstheme="majorBidi"/>
          <w:sz w:val="24"/>
          <w:szCs w:val="24"/>
        </w:rPr>
        <w:t>has 8 steps (Box 2)</w:t>
      </w:r>
      <w:r w:rsidRPr="00864484">
        <w:rPr>
          <w:rFonts w:asciiTheme="majorBidi" w:hAnsiTheme="majorBidi" w:cstheme="majorBidi"/>
          <w:sz w:val="24"/>
          <w:szCs w:val="24"/>
        </w:rPr>
        <w:t>.</w:t>
      </w:r>
    </w:p>
    <w:p w14:paraId="23880AB3" w14:textId="0E8D49F9" w:rsidR="00B35471" w:rsidRDefault="00B35471" w:rsidP="00EB59B8">
      <w:pPr>
        <w:ind w:left="720"/>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prevent drawdown to its protection volume, benefit Grand Canyon ecosystems, sustain hydropower generation, and other purposes because the</w:t>
      </w:r>
      <w:r w:rsidR="00664475">
        <w:rPr>
          <w:rFonts w:asciiTheme="majorBidi" w:hAnsiTheme="majorBidi" w:cstheme="majorBidi"/>
          <w:sz w:val="24"/>
          <w:szCs w:val="24"/>
        </w:rPr>
        <w:t>re is no longer mandatory 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64475">
        <w:rPr>
          <w:rFonts w:asciiTheme="majorBidi" w:hAnsiTheme="majorBidi" w:cstheme="majorBidi"/>
          <w:sz w:val="24"/>
          <w:szCs w:val="24"/>
        </w:rPr>
        <w:t>rather</w:t>
      </w:r>
      <w:r w:rsidR="006348F8">
        <w:rPr>
          <w:rFonts w:asciiTheme="majorBidi" w:hAnsiTheme="majorBidi" w:cstheme="majorBidi"/>
          <w:sz w:val="24"/>
          <w:szCs w:val="24"/>
        </w:rPr>
        <w:t xml:space="preserve"> 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p>
    <w:p w14:paraId="3EE1FDCB" w14:textId="23A3C77D" w:rsidR="000024DE" w:rsidRDefault="007D0A9A" w:rsidP="000024DE">
      <w:pPr>
        <w:pStyle w:val="Heading1"/>
      </w:pPr>
      <w:r>
        <w:t xml:space="preserve">Conclusions and </w:t>
      </w:r>
      <w:r w:rsidR="000024DE">
        <w:t>Next Steps</w:t>
      </w:r>
    </w:p>
    <w:p w14:paraId="0155E0A9" w14:textId="188BE444"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Another challenge is how to s</w:t>
      </w:r>
      <w:r w:rsidR="000E76C7" w:rsidRPr="000E76C7">
        <w:rPr>
          <w:rFonts w:asciiTheme="majorBidi" w:hAnsiTheme="majorBidi" w:cstheme="majorBidi"/>
          <w:sz w:val="24"/>
          <w:szCs w:val="24"/>
        </w:rPr>
        <w:t xml:space="preserve">tabilize and recover reservoir storage when a key component that defines the water available </w:t>
      </w:r>
      <w:r w:rsidR="00744964">
        <w:rPr>
          <w:rFonts w:asciiTheme="majorBidi" w:hAnsiTheme="majorBidi" w:cstheme="majorBidi"/>
          <w:sz w:val="24"/>
          <w:szCs w:val="24"/>
        </w:rPr>
        <w:t xml:space="preserve">to conserve and </w:t>
      </w:r>
      <w:r w:rsidR="000E76C7" w:rsidRPr="000E76C7">
        <w:rPr>
          <w:rFonts w:asciiTheme="majorBidi" w:hAnsiTheme="majorBidi" w:cstheme="majorBidi"/>
          <w:sz w:val="24"/>
          <w:szCs w:val="24"/>
        </w:rPr>
        <w:t xml:space="preserve">release―reservoir inflow―is not included in </w:t>
      </w:r>
      <w:r w:rsidR="000E76C7">
        <w:rPr>
          <w:rFonts w:asciiTheme="majorBidi" w:hAnsiTheme="majorBidi" w:cstheme="majorBidi"/>
          <w:sz w:val="24"/>
          <w:szCs w:val="24"/>
        </w:rPr>
        <w:t xml:space="preserve">the </w:t>
      </w:r>
      <w:r w:rsidR="000E76C7" w:rsidRPr="000E76C7">
        <w:rPr>
          <w:rFonts w:asciiTheme="majorBidi" w:hAnsiTheme="majorBidi" w:cstheme="majorBidi"/>
          <w:sz w:val="24"/>
          <w:szCs w:val="24"/>
        </w:rPr>
        <w:t>program.</w:t>
      </w:r>
      <w:r w:rsidR="000E76C7">
        <w:rPr>
          <w:rFonts w:asciiTheme="majorBidi" w:hAnsiTheme="majorBidi" w:cstheme="majorBidi"/>
          <w:sz w:val="24"/>
          <w:szCs w:val="24"/>
        </w:rPr>
        <w:t xml:space="preserve"> 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increase sustainability and 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climate vulnerabilit</w:t>
      </w:r>
      <w:r w:rsidR="00744964">
        <w:rPr>
          <w:rFonts w:asciiTheme="majorBidi" w:hAnsiTheme="majorBidi" w:cstheme="majorBidi"/>
          <w:sz w:val="24"/>
          <w:szCs w:val="24"/>
        </w:rPr>
        <w:t>ies</w:t>
      </w:r>
      <w:r w:rsidR="000D32EF">
        <w:rPr>
          <w:rFonts w:asciiTheme="majorBidi" w:hAnsiTheme="majorBidi" w:cstheme="majorBidi"/>
          <w:sz w:val="24"/>
          <w:szCs w:val="24"/>
        </w:rPr>
        <w:t xml:space="preserve"> </w:t>
      </w:r>
      <w:r w:rsidRPr="007D0A9A">
        <w:rPr>
          <w:rFonts w:asciiTheme="majorBidi" w:hAnsiTheme="majorBidi" w:cstheme="majorBidi"/>
          <w:sz w:val="24"/>
          <w:szCs w:val="24"/>
        </w:rPr>
        <w:t>while leverage prior negotiations and decrease conflict? One insight—switch to water accounting based on reservoir inflow.</w:t>
      </w:r>
    </w:p>
    <w:p w14:paraId="12341D2A" w14:textId="1D1BCC27" w:rsidR="00A40459" w:rsidRDefault="000024DE" w:rsidP="000024DE">
      <w:pPr>
        <w:rPr>
          <w:rFonts w:asciiTheme="majorBidi" w:hAnsiTheme="majorBidi" w:cstheme="majorBidi"/>
          <w:sz w:val="24"/>
          <w:szCs w:val="24"/>
        </w:rPr>
      </w:pPr>
      <w:r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Pr="00AF5A89">
        <w:rPr>
          <w:rFonts w:asciiTheme="majorBidi" w:hAnsiTheme="majorBidi" w:cstheme="majorBidi"/>
          <w:sz w:val="24"/>
          <w:szCs w:val="24"/>
        </w:rPr>
        <w:t xml:space="preserve">n online collaborative model to allow basin partners to explore Lake Mead </w:t>
      </w:r>
      <w:r w:rsidR="000E76C7">
        <w:rPr>
          <w:rFonts w:asciiTheme="majorBidi" w:hAnsiTheme="majorBidi" w:cstheme="majorBidi"/>
          <w:sz w:val="24"/>
          <w:szCs w:val="24"/>
        </w:rPr>
        <w:t>w</w:t>
      </w:r>
      <w:r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Pr="00AF5A89">
        <w:rPr>
          <w:rFonts w:asciiTheme="majorBidi" w:hAnsiTheme="majorBidi" w:cstheme="majorBidi"/>
          <w:sz w:val="24"/>
          <w:szCs w:val="24"/>
        </w:rPr>
        <w:t>ccounting</w:t>
      </w:r>
      <w:r w:rsidR="000E76C7">
        <w:rPr>
          <w:rFonts w:asciiTheme="majorBidi" w:hAnsiTheme="majorBidi" w:cstheme="majorBidi"/>
          <w:sz w:val="24"/>
          <w:szCs w:val="24"/>
        </w:rPr>
        <w:t xml:space="preserve"> based on reservoir inflow</w:t>
      </w:r>
      <w:r w:rsidR="00A40459">
        <w:rPr>
          <w:rFonts w:asciiTheme="majorBidi" w:hAnsiTheme="majorBidi" w:cstheme="majorBidi"/>
          <w:sz w:val="24"/>
          <w:szCs w:val="24"/>
        </w:rPr>
        <w:t xml:space="preserve"> </w:t>
      </w:r>
      <w:r w:rsidR="00A40459">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A40459">
        <w:rPr>
          <w:rFonts w:asciiTheme="majorBidi" w:hAnsiTheme="majorBidi" w:cstheme="majorBidi"/>
          <w:sz w:val="24"/>
          <w:szCs w:val="24"/>
        </w:rPr>
        <w:fldChar w:fldCharType="separate"/>
      </w:r>
      <w:r w:rsidR="00A40459">
        <w:rPr>
          <w:rFonts w:asciiTheme="majorBidi" w:hAnsiTheme="majorBidi" w:cstheme="majorBidi"/>
          <w:noProof/>
          <w:sz w:val="24"/>
          <w:szCs w:val="24"/>
        </w:rPr>
        <w:t>(Rosenberg, 2024)</w:t>
      </w:r>
      <w:r w:rsidR="00A40459">
        <w:rPr>
          <w:rFonts w:asciiTheme="majorBidi" w:hAnsiTheme="majorBidi" w:cstheme="majorBidi"/>
          <w:sz w:val="24"/>
          <w:szCs w:val="24"/>
        </w:rPr>
        <w:fldChar w:fldCharType="end"/>
      </w:r>
      <w:r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5675353D"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0E76C7" w:rsidRPr="00A62151">
        <w:rPr>
          <w:rFonts w:asciiTheme="majorBidi" w:hAnsiTheme="majorBidi" w:cstheme="majorBidi"/>
          <w:sz w:val="24"/>
          <w:szCs w:val="24"/>
        </w:rPr>
        <w:t xml:space="preserve">more </w:t>
      </w:r>
      <w:r w:rsidRPr="00A62151">
        <w:rPr>
          <w:rFonts w:asciiTheme="majorBidi" w:hAnsiTheme="majorBidi" w:cstheme="majorBidi"/>
          <w:sz w:val="24"/>
          <w:szCs w:val="24"/>
        </w:rPr>
        <w:t xml:space="preserve">adaptively manage and reduce conflicting system, user, Tribal, and ecosystem </w:t>
      </w:r>
      <w:r w:rsidR="003E58F8" w:rsidRPr="00A62151">
        <w:rPr>
          <w:rFonts w:asciiTheme="majorBidi" w:hAnsiTheme="majorBidi" w:cstheme="majorBidi"/>
          <w:sz w:val="24"/>
          <w:szCs w:val="24"/>
        </w:rPr>
        <w:t xml:space="preserve">vulnerabilities. </w:t>
      </w:r>
      <w:r w:rsidR="00AF5A89" w:rsidRPr="00A62151">
        <w:rPr>
          <w:rFonts w:asciiTheme="majorBidi" w:hAnsiTheme="majorBidi" w:cstheme="majorBidi"/>
          <w:sz w:val="24"/>
          <w:szCs w:val="24"/>
        </w:rPr>
        <w:t xml:space="preserve">Reach out by email to </w:t>
      </w:r>
      <w:hyperlink r:id="rId14"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09ECF1B5" w14:textId="3E67BCEE" w:rsidR="00B76760" w:rsidRDefault="00B76760" w:rsidP="00B76760">
      <w:pPr>
        <w:pStyle w:val="Heading1"/>
      </w:pPr>
      <w:r>
        <w:lastRenderedPageBreak/>
        <w:t>Author</w:t>
      </w:r>
      <w:r w:rsidR="000D32EF">
        <w:t>s</w:t>
      </w:r>
    </w:p>
    <w:p w14:paraId="75E9BBEF" w14:textId="71B6D6B6" w:rsidR="0049054F" w:rsidRPr="000D32EF" w:rsidRDefault="00B76760" w:rsidP="000D32EF">
      <w:pPr>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3C78CD2B" w14:textId="39EB0815" w:rsidR="0067166E" w:rsidRDefault="0067166E" w:rsidP="0067166E"/>
    <w:p w14:paraId="44E3A7A8" w14:textId="54CB7D7C" w:rsidR="00446E71" w:rsidRDefault="00446E71" w:rsidP="00446E71">
      <w:pPr>
        <w:pStyle w:val="Heading1"/>
      </w:pPr>
      <w:r>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7"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D8DF798" w14:textId="77777777" w:rsidR="00446E71" w:rsidRPr="00446E71" w:rsidRDefault="00446E71" w:rsidP="00446E71">
      <w:pPr>
        <w:rPr>
          <w:rFonts w:asciiTheme="majorBidi" w:hAnsiTheme="majorBidi" w:cstheme="majorBidi"/>
          <w:sz w:val="24"/>
          <w:szCs w:val="24"/>
        </w:rPr>
      </w:pPr>
    </w:p>
    <w:p w14:paraId="5C03EF3F" w14:textId="0E10FAF9" w:rsidR="0083143F" w:rsidRPr="0067166E" w:rsidRDefault="00D86B8A" w:rsidP="0067166E">
      <w:pPr>
        <w:pStyle w:val="Heading1"/>
      </w:pPr>
      <w:r w:rsidRPr="00D86B8A">
        <w:t>Appendix A. Estimate Share</w:t>
      </w:r>
      <w:r w:rsidR="0049054F">
        <w:t>s</w:t>
      </w:r>
      <w:r w:rsidRPr="00D86B8A">
        <w:t xml:space="preserve"> of </w:t>
      </w:r>
      <w:r w:rsidR="00EB59B8">
        <w:t>Annual Lake Mead Available Water</w:t>
      </w:r>
      <w:r w:rsidRPr="00D86B8A">
        <w:t>.</w:t>
      </w:r>
    </w:p>
    <w:p w14:paraId="55E73613" w14:textId="16DFE670"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EB59B8">
        <w:rPr>
          <w:rFonts w:asciiTheme="majorBidi" w:hAnsiTheme="majorBidi" w:cstheme="majorBidi"/>
          <w:sz w:val="24"/>
          <w:szCs w:val="24"/>
        </w:rPr>
        <w:t>available water</w:t>
      </w:r>
      <w:r w:rsidR="00D15156">
        <w:rPr>
          <w:rFonts w:asciiTheme="majorBidi" w:hAnsiTheme="majorBidi" w:cstheme="majorBidi"/>
          <w:sz w:val="24"/>
          <w:szCs w:val="24"/>
        </w:rPr>
        <w:t xml:space="preserve"> – annual reservoir inflow minus evaporation</w:t>
      </w:r>
      <w:r w:rsidR="00EB59B8">
        <w:rPr>
          <w:rFonts w:asciiTheme="majorBidi" w:hAnsiTheme="majorBidi" w:cstheme="majorBidi"/>
          <w:sz w:val="24"/>
          <w:szCs w:val="24"/>
        </w:rPr>
        <w:t xml:space="preserve">. </w:t>
      </w:r>
      <w:r w:rsidR="000D32EF">
        <w:rPr>
          <w:rFonts w:asciiTheme="majorBidi" w:hAnsiTheme="majorBidi" w:cstheme="majorBidi"/>
          <w:sz w:val="24"/>
          <w:szCs w:val="24"/>
        </w:rPr>
        <w:t>A user’s share of the annual available water is their historical allocation minus the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587DE77A">
            <wp:extent cx="2921022" cy="1892411"/>
            <wp:effectExtent l="0" t="0" r="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1931" cy="1899478"/>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63B40EA3"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Table A2. Share of available water</w:t>
      </w:r>
      <w:r w:rsidR="00B16243">
        <w:rPr>
          <w:rFonts w:asciiTheme="majorBidi" w:hAnsiTheme="majorBidi" w:cstheme="majorBidi"/>
          <w:b/>
          <w:bCs/>
          <w:sz w:val="24"/>
          <w:szCs w:val="24"/>
        </w:rPr>
        <w:t xml:space="preserve"> as volume and as percentage.</w:t>
      </w:r>
    </w:p>
    <w:p w14:paraId="03163A09" w14:textId="5840A500" w:rsidR="00B76760" w:rsidRPr="00B76760" w:rsidRDefault="000A1B8B" w:rsidP="0028676C">
      <w:pPr>
        <w:rPr>
          <w:rFonts w:asciiTheme="majorBidi" w:hAnsiTheme="majorBidi" w:cstheme="majorBidi"/>
          <w:b/>
          <w:bCs/>
          <w:sz w:val="24"/>
          <w:szCs w:val="24"/>
        </w:rPr>
      </w:pPr>
      <w:r w:rsidRPr="000A1B8B">
        <w:rPr>
          <w:noProof/>
        </w:rPr>
        <w:drawing>
          <wp:inline distT="0" distB="0" distL="0" distR="0" wp14:anchorId="0C978A18" wp14:editId="20959649">
            <wp:extent cx="5943600" cy="1592580"/>
            <wp:effectExtent l="0" t="0" r="0" b="7620"/>
            <wp:docPr id="193802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02C0C15F" w:rsidR="0049054F" w:rsidRPr="00BE23AA" w:rsidRDefault="0017483B" w:rsidP="0028676C">
      <w:pPr>
        <w:rPr>
          <w:rFonts w:asciiTheme="majorBidi" w:hAnsiTheme="majorBidi" w:cstheme="majorBidi"/>
          <w:b/>
          <w:bCs/>
          <w:sz w:val="24"/>
          <w:szCs w:val="24"/>
        </w:rPr>
      </w:pPr>
      <w:r w:rsidRPr="00BE23AA">
        <w:rPr>
          <w:rFonts w:asciiTheme="majorBidi" w:hAnsiTheme="majorBidi" w:cstheme="majorBidi"/>
          <w:b/>
          <w:bCs/>
          <w:sz w:val="24"/>
          <w:szCs w:val="24"/>
        </w:rPr>
        <w:lastRenderedPageBreak/>
        <w:t>Calculations</w:t>
      </w:r>
      <w:r w:rsidR="00BE23AA">
        <w:rPr>
          <w:rFonts w:asciiTheme="majorBidi" w:hAnsiTheme="majorBidi" w:cstheme="majorBidi"/>
          <w:b/>
          <w:bCs/>
          <w:sz w:val="24"/>
          <w:szCs w:val="24"/>
        </w:rPr>
        <w:t xml:space="preserve"> of available water as volume and percentage (Table A2) are:</w:t>
      </w:r>
    </w:p>
    <w:p w14:paraId="1E724E01" w14:textId="5DAF219E" w:rsidR="00B76760" w:rsidRDefault="00B74DFA"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B76760" w:rsidRPr="0049054F">
        <w:rPr>
          <w:rFonts w:asciiTheme="majorBidi" w:hAnsiTheme="majorBidi" w:cstheme="majorBidi"/>
          <w:sz w:val="24"/>
          <w:szCs w:val="24"/>
        </w:rPr>
        <w:t>Available Water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01795652"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an available water of 9.0 ─ 0.4 = 8.6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226EAF89"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Share of Available Water:</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47C89088"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available water,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29A710D"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available water,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1E9D5DFC"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available water,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E836036"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available water,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422074C9"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Available Water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0CB97F6C"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A user’s Percent of Available Water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726CB497"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Percentage of Available Water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48542E9C"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Nevada and Mexico’s percent shares of the total available water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FBDD8BA"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Arizona’s percentage share of the available water decreases as </w:t>
      </w:r>
      <w:r w:rsidR="001E68A3">
        <w:rPr>
          <w:rFonts w:asciiTheme="majorBidi" w:hAnsiTheme="majorBidi" w:cstheme="majorBidi"/>
          <w:sz w:val="24"/>
          <w:szCs w:val="24"/>
        </w:rPr>
        <w:t>the total available water decreases whereas California’s share of the available water increases.</w:t>
      </w:r>
    </w:p>
    <w:p w14:paraId="0DC10232" w14:textId="6DF98A72" w:rsidR="00436FB2" w:rsidRPr="0028676C" w:rsidRDefault="00436FB2" w:rsidP="004C4EE5">
      <w:pPr>
        <w:pStyle w:val="Heading1"/>
      </w:pPr>
      <w:r>
        <w:t>References</w:t>
      </w:r>
    </w:p>
    <w:p w14:paraId="22FDF81E" w14:textId="388C3993" w:rsidR="0067166E" w:rsidRPr="0076048A" w:rsidRDefault="00FC409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7166E" w:rsidRPr="0076048A">
        <w:rPr>
          <w:rFonts w:asciiTheme="majorBidi" w:hAnsiTheme="majorBidi" w:cstheme="majorBidi"/>
          <w:sz w:val="24"/>
          <w:szCs w:val="24"/>
        </w:rPr>
        <w:t xml:space="preserve">Allaire, M., and Acquah, S. (2022). "Disparities in drinking water compliance: Implications for incorporating equity into regulatory practices." </w:t>
      </w:r>
      <w:r w:rsidR="0067166E" w:rsidRPr="0076048A">
        <w:rPr>
          <w:rFonts w:asciiTheme="majorBidi" w:hAnsiTheme="majorBidi" w:cstheme="majorBidi"/>
          <w:i/>
          <w:sz w:val="24"/>
          <w:szCs w:val="24"/>
        </w:rPr>
        <w:t>AWWA Water Science</w:t>
      </w:r>
      <w:r w:rsidR="0067166E" w:rsidRPr="0076048A">
        <w:rPr>
          <w:rFonts w:asciiTheme="majorBidi" w:hAnsiTheme="majorBidi" w:cstheme="majorBidi"/>
          <w:sz w:val="24"/>
          <w:szCs w:val="24"/>
        </w:rPr>
        <w:t xml:space="preserve">, 4(2), e1274. </w:t>
      </w:r>
      <w:hyperlink r:id="rId20" w:history="1">
        <w:r w:rsidR="0067166E" w:rsidRPr="0076048A">
          <w:rPr>
            <w:rStyle w:val="Hyperlink"/>
            <w:rFonts w:asciiTheme="majorBidi" w:hAnsiTheme="majorBidi" w:cstheme="majorBidi"/>
            <w:sz w:val="24"/>
            <w:szCs w:val="24"/>
          </w:rPr>
          <w:t>https://doi.org/10.1002/aws2.1274</w:t>
        </w:r>
      </w:hyperlink>
      <w:r w:rsidR="0067166E" w:rsidRPr="0076048A">
        <w:rPr>
          <w:rFonts w:asciiTheme="majorBidi" w:hAnsiTheme="majorBidi" w:cstheme="majorBidi"/>
          <w:sz w:val="24"/>
          <w:szCs w:val="24"/>
        </w:rPr>
        <w:t>.</w:t>
      </w:r>
    </w:p>
    <w:p w14:paraId="61F1A725" w14:textId="0C00E9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Allhands, J. (2021). "It could take at least 500,000 acre-feet of water a year to keep Lake Mead from tanking." </w:t>
      </w:r>
      <w:r w:rsidRPr="0076048A">
        <w:rPr>
          <w:rFonts w:asciiTheme="majorBidi" w:hAnsiTheme="majorBidi" w:cstheme="majorBidi"/>
          <w:i/>
          <w:sz w:val="24"/>
          <w:szCs w:val="24"/>
        </w:rPr>
        <w:t>Arizona Republic</w:t>
      </w:r>
      <w:r w:rsidRPr="0076048A">
        <w:rPr>
          <w:rFonts w:asciiTheme="majorBidi" w:hAnsiTheme="majorBidi" w:cstheme="majorBidi"/>
          <w:sz w:val="24"/>
          <w:szCs w:val="24"/>
        </w:rPr>
        <w:t xml:space="preserve">, November 8, 2021. </w:t>
      </w:r>
      <w:hyperlink r:id="rId21" w:history="1">
        <w:r w:rsidRPr="0076048A">
          <w:rPr>
            <w:rStyle w:val="Hyperlink"/>
            <w:rFonts w:asciiTheme="majorBidi" w:hAnsiTheme="majorBidi" w:cstheme="majorBidi"/>
            <w:sz w:val="24"/>
            <w:szCs w:val="24"/>
          </w:rPr>
          <w:t>https://www.azcentral.com/story/opinion/op-ed/joannaallhands/2021/11/08/lake-mead-could-get-extra-water-from-lower-basin-annually/6306601001/</w:t>
        </w:r>
      </w:hyperlink>
      <w:r w:rsidRPr="0076048A">
        <w:rPr>
          <w:rFonts w:asciiTheme="majorBidi" w:hAnsiTheme="majorBidi" w:cstheme="majorBidi"/>
          <w:sz w:val="24"/>
          <w:szCs w:val="24"/>
        </w:rPr>
        <w:t>.</w:t>
      </w:r>
    </w:p>
    <w:p w14:paraId="5DA38D09" w14:textId="6626EF9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Buschatzke, T., Hamby, J. B., and Entsminger, J. (2024). "Lower Basin Alternative for the Post-2026 Coordinated Operation of the Colorado River Basin." </w:t>
      </w:r>
      <w:hyperlink r:id="rId22" w:history="1">
        <w:r w:rsidRPr="0076048A">
          <w:rPr>
            <w:rStyle w:val="Hyperlink"/>
            <w:rFonts w:asciiTheme="majorBidi" w:hAnsiTheme="majorBidi" w:cstheme="majorBidi"/>
            <w:sz w:val="24"/>
            <w:szCs w:val="24"/>
          </w:rPr>
          <w:t>https://www.snwa.com/assets/pdf/lower-basin-alternative-letter-march2024.pdf</w:t>
        </w:r>
      </w:hyperlink>
      <w:r w:rsidRPr="0076048A">
        <w:rPr>
          <w:rFonts w:asciiTheme="majorBidi" w:hAnsiTheme="majorBidi" w:cstheme="majorBidi"/>
          <w:sz w:val="24"/>
          <w:szCs w:val="24"/>
        </w:rPr>
        <w:t xml:space="preserve"> [Accessed on: August 14, 2024].</w:t>
      </w:r>
    </w:p>
    <w:p w14:paraId="7728813C" w14:textId="510D7D0D"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CAP. (2022). "ICS – Three little letters that signify big contributions and new flexibility." Central Arizona Project, </w:t>
      </w:r>
      <w:hyperlink r:id="rId23" w:history="1">
        <w:r w:rsidRPr="0076048A">
          <w:rPr>
            <w:rStyle w:val="Hyperlink"/>
            <w:rFonts w:asciiTheme="majorBidi" w:hAnsiTheme="majorBidi" w:cstheme="majorBidi"/>
            <w:sz w:val="24"/>
            <w:szCs w:val="24"/>
          </w:rPr>
          <w:t>https://knowyourwaternews.com/ics-three-little-letters-that-signify-big-contributions-and-new-flexibility/</w:t>
        </w:r>
      </w:hyperlink>
      <w:r w:rsidRPr="0076048A">
        <w:rPr>
          <w:rFonts w:asciiTheme="majorBidi" w:hAnsiTheme="majorBidi" w:cstheme="majorBidi"/>
          <w:sz w:val="24"/>
          <w:szCs w:val="24"/>
        </w:rPr>
        <w:t xml:space="preserve"> [Accessed on: August 13, 2024].</w:t>
      </w:r>
    </w:p>
    <w:p w14:paraId="683BF51B" w14:textId="77777777"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Grant, D. L. (2007). "Collaborative Solutions to Colorado River Water Shortages: The Basin States' Proposal and Beyond." </w:t>
      </w:r>
      <w:r w:rsidRPr="0076048A">
        <w:rPr>
          <w:rFonts w:asciiTheme="majorBidi" w:hAnsiTheme="majorBidi" w:cstheme="majorBidi"/>
          <w:i/>
          <w:sz w:val="24"/>
          <w:szCs w:val="24"/>
        </w:rPr>
        <w:t>Nevada Law Journal</w:t>
      </w:r>
      <w:r w:rsidRPr="0076048A">
        <w:rPr>
          <w:rFonts w:asciiTheme="majorBidi" w:hAnsiTheme="majorBidi" w:cstheme="majorBidi"/>
          <w:sz w:val="24"/>
          <w:szCs w:val="24"/>
        </w:rPr>
        <w:t>, 8, 964</w:t>
      </w:r>
    </w:p>
    <w:p w14:paraId="5A0FCAE5" w14:textId="06B24AD9" w:rsidR="0067166E" w:rsidRPr="0076048A" w:rsidRDefault="00000000" w:rsidP="0076048A">
      <w:pPr>
        <w:pStyle w:val="EndNoteBibliography"/>
        <w:spacing w:after="0"/>
        <w:ind w:left="360" w:hanging="360"/>
        <w:rPr>
          <w:rFonts w:asciiTheme="majorBidi" w:hAnsiTheme="majorBidi" w:cstheme="majorBidi"/>
          <w:sz w:val="24"/>
          <w:szCs w:val="24"/>
        </w:rPr>
      </w:pPr>
      <w:hyperlink r:id="rId24" w:history="1">
        <w:r w:rsidR="0067166E" w:rsidRPr="0076048A">
          <w:rPr>
            <w:rStyle w:val="Hyperlink"/>
            <w:rFonts w:asciiTheme="majorBidi" w:hAnsiTheme="majorBidi" w:cstheme="majorBidi"/>
            <w:sz w:val="24"/>
            <w:szCs w:val="24"/>
          </w:rPr>
          <w:t>https://heinonline.org/HOL/Page?handle=hein.journals/nevlj8&amp;id=980&amp;collection=journals&amp;index</w:t>
        </w:r>
      </w:hyperlink>
      <w:r w:rsidR="0067166E" w:rsidRPr="0076048A">
        <w:rPr>
          <w:rFonts w:asciiTheme="majorBidi" w:hAnsiTheme="majorBidi" w:cstheme="majorBidi"/>
          <w:sz w:val="24"/>
          <w:szCs w:val="24"/>
        </w:rPr>
        <w:t>=.</w:t>
      </w:r>
    </w:p>
    <w:p w14:paraId="5881FE6F" w14:textId="14D1100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Hecht, J. S., Vogel, R. M., McManamay, R. A., Kroll, C. N., and Reed, J. M. (2020). "Decision Trees for Incorporating Hypothesis Tests of Hydrologic Alteration into Hydropower&amp;#x2013;Ecosystem Tradeoffs."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146(5), 04020017. </w:t>
      </w:r>
      <w:hyperlink r:id="rId25" w:history="1">
        <w:r w:rsidRPr="0076048A">
          <w:rPr>
            <w:rStyle w:val="Hyperlink"/>
            <w:rFonts w:asciiTheme="majorBidi" w:hAnsiTheme="majorBidi" w:cstheme="majorBidi"/>
            <w:sz w:val="24"/>
            <w:szCs w:val="24"/>
          </w:rPr>
          <w:t>https://doi.org/10.1061/(ASCE)WR.1943-5452.0001184</w:t>
        </w:r>
      </w:hyperlink>
      <w:r w:rsidRPr="0076048A">
        <w:rPr>
          <w:rFonts w:asciiTheme="majorBidi" w:hAnsiTheme="majorBidi" w:cstheme="majorBidi"/>
          <w:sz w:val="24"/>
          <w:szCs w:val="24"/>
        </w:rPr>
        <w:t>.</w:t>
      </w:r>
    </w:p>
    <w:p w14:paraId="4E996D7D" w14:textId="1B9A4D4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Hegwood, M., Langendorf, R. E., and Burgess, M. G. (2022). "Why win–wins are rare in complex environmental management." </w:t>
      </w:r>
      <w:r w:rsidRPr="0076048A">
        <w:rPr>
          <w:rFonts w:asciiTheme="majorBidi" w:hAnsiTheme="majorBidi" w:cstheme="majorBidi"/>
          <w:i/>
          <w:sz w:val="24"/>
          <w:szCs w:val="24"/>
        </w:rPr>
        <w:t>Nature Sustainability</w:t>
      </w:r>
      <w:r w:rsidRPr="0076048A">
        <w:rPr>
          <w:rFonts w:asciiTheme="majorBidi" w:hAnsiTheme="majorBidi" w:cstheme="majorBidi"/>
          <w:sz w:val="24"/>
          <w:szCs w:val="24"/>
        </w:rPr>
        <w:t xml:space="preserve">. </w:t>
      </w:r>
      <w:hyperlink r:id="rId26" w:history="1">
        <w:r w:rsidRPr="0076048A">
          <w:rPr>
            <w:rStyle w:val="Hyperlink"/>
            <w:rFonts w:asciiTheme="majorBidi" w:hAnsiTheme="majorBidi" w:cstheme="majorBidi"/>
            <w:sz w:val="24"/>
            <w:szCs w:val="24"/>
          </w:rPr>
          <w:t>https://doi.org/10.1038/s41893-022-00866-z</w:t>
        </w:r>
      </w:hyperlink>
      <w:r w:rsidRPr="0076048A">
        <w:rPr>
          <w:rFonts w:asciiTheme="majorBidi" w:hAnsiTheme="majorBidi" w:cstheme="majorBidi"/>
          <w:sz w:val="24"/>
          <w:szCs w:val="24"/>
        </w:rPr>
        <w:t>.</w:t>
      </w:r>
    </w:p>
    <w:p w14:paraId="19592300" w14:textId="57935D1F"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IBWC. (2021). "Minutes between the United States and Mexican Sections of the IBWC." United States Section, </w:t>
      </w:r>
      <w:hyperlink r:id="rId27" w:history="1">
        <w:r w:rsidRPr="0076048A">
          <w:rPr>
            <w:rStyle w:val="Hyperlink"/>
            <w:rFonts w:asciiTheme="majorBidi" w:hAnsiTheme="majorBidi" w:cstheme="majorBidi"/>
            <w:sz w:val="24"/>
            <w:szCs w:val="24"/>
          </w:rPr>
          <w:t>https://www.ibwc.gov/Treaties_Minutes/Minutes.html</w:t>
        </w:r>
      </w:hyperlink>
      <w:r w:rsidRPr="0076048A">
        <w:rPr>
          <w:rFonts w:asciiTheme="majorBidi" w:hAnsiTheme="majorBidi" w:cstheme="majorBidi"/>
          <w:sz w:val="24"/>
          <w:szCs w:val="24"/>
        </w:rPr>
        <w:t xml:space="preserve"> [Accessed on: July 22, 2021].</w:t>
      </w:r>
    </w:p>
    <w:p w14:paraId="7AC81A54" w14:textId="71D7559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Jasechko, S., and Perrone, D. (2021). "Global groundwater wells at risk of running dry." </w:t>
      </w:r>
      <w:r w:rsidRPr="0076048A">
        <w:rPr>
          <w:rFonts w:asciiTheme="majorBidi" w:hAnsiTheme="majorBidi" w:cstheme="majorBidi"/>
          <w:i/>
          <w:sz w:val="24"/>
          <w:szCs w:val="24"/>
        </w:rPr>
        <w:t>Science</w:t>
      </w:r>
      <w:r w:rsidRPr="0076048A">
        <w:rPr>
          <w:rFonts w:asciiTheme="majorBidi" w:hAnsiTheme="majorBidi" w:cstheme="majorBidi"/>
          <w:sz w:val="24"/>
          <w:szCs w:val="24"/>
        </w:rPr>
        <w:t xml:space="preserve">, 372(6540), 418-421. </w:t>
      </w:r>
      <w:hyperlink r:id="rId28" w:history="1">
        <w:r w:rsidRPr="0076048A">
          <w:rPr>
            <w:rStyle w:val="Hyperlink"/>
            <w:rFonts w:asciiTheme="majorBidi" w:hAnsiTheme="majorBidi" w:cstheme="majorBidi"/>
            <w:sz w:val="24"/>
            <w:szCs w:val="24"/>
          </w:rPr>
          <w:t>https://doi.org/10.1126/science.abc2755</w:t>
        </w:r>
      </w:hyperlink>
      <w:r w:rsidRPr="0076048A">
        <w:rPr>
          <w:rFonts w:asciiTheme="majorBidi" w:hAnsiTheme="majorBidi" w:cstheme="majorBidi"/>
          <w:sz w:val="24"/>
          <w:szCs w:val="24"/>
        </w:rPr>
        <w:t>.</w:t>
      </w:r>
    </w:p>
    <w:p w14:paraId="46AA7C50" w14:textId="7777777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Kuhn, E., and Fleck, J. (2019). </w:t>
      </w:r>
      <w:r w:rsidRPr="0076048A">
        <w:rPr>
          <w:rFonts w:asciiTheme="majorBidi" w:hAnsiTheme="majorBidi" w:cstheme="majorBidi"/>
          <w:i/>
          <w:sz w:val="24"/>
          <w:szCs w:val="24"/>
        </w:rPr>
        <w:t>Science Be Dammed: How Ignoring Inconvenient Science Drained the Colorado River</w:t>
      </w:r>
      <w:r w:rsidRPr="0076048A">
        <w:rPr>
          <w:rFonts w:asciiTheme="majorBidi" w:hAnsiTheme="majorBidi" w:cstheme="majorBidi"/>
          <w:sz w:val="24"/>
          <w:szCs w:val="24"/>
        </w:rPr>
        <w:t>, University of Arizona Press.</w:t>
      </w:r>
    </w:p>
    <w:p w14:paraId="51623669" w14:textId="132D6220"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76048A">
        <w:rPr>
          <w:rFonts w:asciiTheme="majorBidi" w:hAnsiTheme="majorBidi" w:cstheme="majorBidi"/>
          <w:i/>
          <w:sz w:val="24"/>
          <w:szCs w:val="24"/>
        </w:rPr>
        <w:t>WIREs Water</w:t>
      </w:r>
      <w:r w:rsidRPr="0076048A">
        <w:rPr>
          <w:rFonts w:asciiTheme="majorBidi" w:hAnsiTheme="majorBidi" w:cstheme="majorBidi"/>
          <w:sz w:val="24"/>
          <w:szCs w:val="24"/>
        </w:rPr>
        <w:t xml:space="preserve">, 7(6), e1486. </w:t>
      </w:r>
      <w:hyperlink r:id="rId29" w:history="1">
        <w:r w:rsidRPr="0076048A">
          <w:rPr>
            <w:rStyle w:val="Hyperlink"/>
            <w:rFonts w:asciiTheme="majorBidi" w:hAnsiTheme="majorBidi" w:cstheme="majorBidi"/>
            <w:sz w:val="24"/>
            <w:szCs w:val="24"/>
          </w:rPr>
          <w:t>https://doi.org/10.1002/wat2.1486</w:t>
        </w:r>
      </w:hyperlink>
      <w:r w:rsidRPr="0076048A">
        <w:rPr>
          <w:rFonts w:asciiTheme="majorBidi" w:hAnsiTheme="majorBidi" w:cstheme="majorBidi"/>
          <w:sz w:val="24"/>
          <w:szCs w:val="24"/>
        </w:rPr>
        <w:t>.</w:t>
      </w:r>
    </w:p>
    <w:p w14:paraId="061D2AD8" w14:textId="2E0B7665"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Pace, C., Fencl, A., Baehner, L., Lukacs, H., Cushing, L. J., and Morello-Frosch, R. (2022). "The Drinking Water Tool: A Community-Driven Data Visualization Tool for Policy Implementation." </w:t>
      </w:r>
      <w:r w:rsidRPr="0076048A">
        <w:rPr>
          <w:rFonts w:asciiTheme="majorBidi" w:hAnsiTheme="majorBidi" w:cstheme="majorBidi"/>
          <w:i/>
          <w:sz w:val="24"/>
          <w:szCs w:val="24"/>
        </w:rPr>
        <w:t>International Journal of Environmental Research and Public Health</w:t>
      </w:r>
      <w:r w:rsidRPr="0076048A">
        <w:rPr>
          <w:rFonts w:asciiTheme="majorBidi" w:hAnsiTheme="majorBidi" w:cstheme="majorBidi"/>
          <w:sz w:val="24"/>
          <w:szCs w:val="24"/>
        </w:rPr>
        <w:t xml:space="preserve">, 19(3), 1419. </w:t>
      </w:r>
      <w:hyperlink r:id="rId30" w:history="1">
        <w:r w:rsidRPr="0076048A">
          <w:rPr>
            <w:rStyle w:val="Hyperlink"/>
            <w:rFonts w:asciiTheme="majorBidi" w:hAnsiTheme="majorBidi" w:cstheme="majorBidi"/>
            <w:sz w:val="24"/>
            <w:szCs w:val="24"/>
          </w:rPr>
          <w:t>https://www.mdpi.com/1660-4601/19/3/1419</w:t>
        </w:r>
      </w:hyperlink>
      <w:r w:rsidRPr="0076048A">
        <w:rPr>
          <w:rFonts w:asciiTheme="majorBidi" w:hAnsiTheme="majorBidi" w:cstheme="majorBidi"/>
          <w:sz w:val="24"/>
          <w:szCs w:val="24"/>
        </w:rPr>
        <w:t>.</w:t>
      </w:r>
    </w:p>
    <w:p w14:paraId="55FE3C96" w14:textId="2C886652"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(2022). "Adapt Lake Mead Releases to Inflow to Give Managers More Flexibility to Slow Reservoir Drawdown."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148(10), 02522006. </w:t>
      </w:r>
      <w:hyperlink r:id="rId31" w:history="1">
        <w:r w:rsidRPr="0076048A">
          <w:rPr>
            <w:rStyle w:val="Hyperlink"/>
            <w:rFonts w:asciiTheme="majorBidi" w:hAnsiTheme="majorBidi" w:cstheme="majorBidi"/>
            <w:sz w:val="24"/>
            <w:szCs w:val="24"/>
          </w:rPr>
          <w:t>https://doi.org/10.1061/(ASCE)WR.1943-5452.0001592</w:t>
        </w:r>
      </w:hyperlink>
      <w:r w:rsidRPr="0076048A">
        <w:rPr>
          <w:rFonts w:asciiTheme="majorBidi" w:hAnsiTheme="majorBidi" w:cstheme="majorBidi"/>
          <w:sz w:val="24"/>
          <w:szCs w:val="24"/>
        </w:rPr>
        <w:t>.</w:t>
      </w:r>
    </w:p>
    <w:p w14:paraId="79703544" w14:textId="52F061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(2024). "Lessons from immersive online collaborative modeling to discuss more adaptive reservoir operations."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150(7). </w:t>
      </w:r>
      <w:hyperlink r:id="rId32" w:history="1">
        <w:r w:rsidRPr="0076048A">
          <w:rPr>
            <w:rStyle w:val="Hyperlink"/>
            <w:rFonts w:asciiTheme="majorBidi" w:hAnsiTheme="majorBidi" w:cstheme="majorBidi"/>
            <w:sz w:val="24"/>
            <w:szCs w:val="24"/>
          </w:rPr>
          <w:t>https://doi.org/10.1061/JWRMD5.WRENG-5893</w:t>
        </w:r>
      </w:hyperlink>
      <w:r w:rsidRPr="0076048A">
        <w:rPr>
          <w:rFonts w:asciiTheme="majorBidi" w:hAnsiTheme="majorBidi" w:cstheme="majorBidi"/>
          <w:sz w:val="24"/>
          <w:szCs w:val="24"/>
        </w:rPr>
        <w:t>.</w:t>
      </w:r>
    </w:p>
    <w:p w14:paraId="45F97E00" w14:textId="7FAEE784"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Stelter, D. (2022). "Towards a Utah Intentionally Created Surplus Program." </w:t>
      </w:r>
      <w:r w:rsidRPr="0076048A">
        <w:rPr>
          <w:rFonts w:asciiTheme="majorBidi" w:hAnsiTheme="majorBidi" w:cstheme="majorBidi"/>
          <w:i/>
          <w:sz w:val="24"/>
          <w:szCs w:val="24"/>
        </w:rPr>
        <w:t>Sustainable Development Law and Policy</w:t>
      </w:r>
      <w:r w:rsidRPr="0076048A">
        <w:rPr>
          <w:rFonts w:asciiTheme="majorBidi" w:hAnsiTheme="majorBidi" w:cstheme="majorBidi"/>
          <w:sz w:val="24"/>
          <w:szCs w:val="24"/>
        </w:rPr>
        <w:t xml:space="preserve">, 22(2), 4-21. </w:t>
      </w:r>
      <w:hyperlink r:id="rId33" w:history="1">
        <w:r w:rsidRPr="0076048A">
          <w:rPr>
            <w:rStyle w:val="Hyperlink"/>
            <w:rFonts w:asciiTheme="majorBidi" w:hAnsiTheme="majorBidi" w:cstheme="majorBidi"/>
            <w:sz w:val="24"/>
            <w:szCs w:val="24"/>
          </w:rPr>
          <w:t>https://heinonline.org/HOL/Page?collection=journals&amp;handle=hein.journals/sdlp22&amp;id=44&amp;men_tab=srchresults</w:t>
        </w:r>
      </w:hyperlink>
      <w:r w:rsidRPr="0076048A">
        <w:rPr>
          <w:rFonts w:asciiTheme="majorBidi" w:hAnsiTheme="majorBidi" w:cstheme="majorBidi"/>
          <w:sz w:val="24"/>
          <w:szCs w:val="24"/>
        </w:rPr>
        <w:t>.</w:t>
      </w:r>
    </w:p>
    <w:p w14:paraId="6ACF1DD4" w14:textId="76B90A8B"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Thomas, K., Hardy, R. D., Lazrus, H., Mendez, M., Orlove, B., Rivera-Collazo, I., Roberts, J. T., Rockman, M., Warner, B. P., and Winthrop, R. (2019). "Explaining differential vulnerability to climate change: A social science review." </w:t>
      </w:r>
      <w:r w:rsidRPr="0076048A">
        <w:rPr>
          <w:rFonts w:asciiTheme="majorBidi" w:hAnsiTheme="majorBidi" w:cstheme="majorBidi"/>
          <w:i/>
          <w:sz w:val="24"/>
          <w:szCs w:val="24"/>
        </w:rPr>
        <w:t>WIREs Climate Change</w:t>
      </w:r>
      <w:r w:rsidRPr="0076048A">
        <w:rPr>
          <w:rFonts w:asciiTheme="majorBidi" w:hAnsiTheme="majorBidi" w:cstheme="majorBidi"/>
          <w:sz w:val="24"/>
          <w:szCs w:val="24"/>
        </w:rPr>
        <w:t xml:space="preserve">, 10(2), e565. </w:t>
      </w:r>
      <w:hyperlink r:id="rId34" w:history="1">
        <w:r w:rsidRPr="0076048A">
          <w:rPr>
            <w:rStyle w:val="Hyperlink"/>
            <w:rFonts w:asciiTheme="majorBidi" w:hAnsiTheme="majorBidi" w:cstheme="majorBidi"/>
            <w:sz w:val="24"/>
            <w:szCs w:val="24"/>
          </w:rPr>
          <w:t>https://doi.org/10.1002/wcc.565</w:t>
        </w:r>
      </w:hyperlink>
      <w:r w:rsidRPr="0076048A">
        <w:rPr>
          <w:rFonts w:asciiTheme="majorBidi" w:hAnsiTheme="majorBidi" w:cstheme="majorBidi"/>
          <w:sz w:val="24"/>
          <w:szCs w:val="24"/>
        </w:rPr>
        <w:t>.</w:t>
      </w:r>
    </w:p>
    <w:p w14:paraId="7D14BA56" w14:textId="4E25C02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(2018).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5" w:history="1">
        <w:r w:rsidRPr="0076048A">
          <w:rPr>
            <w:rStyle w:val="Hyperlink"/>
            <w:rFonts w:asciiTheme="majorBidi" w:hAnsiTheme="majorBidi" w:cstheme="majorBidi"/>
            <w:sz w:val="24"/>
            <w:szCs w:val="24"/>
          </w:rPr>
          <w:t>http://www.ucrcommission.com/RepDoc/SCPPDocuments/2018__SCPP_FUBRD.pdf</w:t>
        </w:r>
      </w:hyperlink>
      <w:r w:rsidRPr="0076048A">
        <w:rPr>
          <w:rFonts w:asciiTheme="majorBidi" w:hAnsiTheme="majorBidi" w:cstheme="majorBidi"/>
          <w:sz w:val="24"/>
          <w:szCs w:val="24"/>
        </w:rPr>
        <w:t>.</w:t>
      </w:r>
    </w:p>
    <w:p w14:paraId="481BAA58" w14:textId="1CF5660E"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(2024).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6" w:history="1">
        <w:r w:rsidRPr="0076048A">
          <w:rPr>
            <w:rStyle w:val="Hyperlink"/>
            <w:rFonts w:asciiTheme="majorBidi" w:hAnsiTheme="majorBidi" w:cstheme="majorBidi"/>
            <w:sz w:val="24"/>
            <w:szCs w:val="24"/>
          </w:rPr>
          <w:t>http://www.ucrcommission.com/wp-content/uploads/2024/06/2023_SCPP_Report_June2024.pdf</w:t>
        </w:r>
      </w:hyperlink>
      <w:r w:rsidRPr="0076048A">
        <w:rPr>
          <w:rFonts w:asciiTheme="majorBidi" w:hAnsiTheme="majorBidi" w:cstheme="majorBidi"/>
          <w:sz w:val="24"/>
          <w:szCs w:val="24"/>
        </w:rPr>
        <w:t>.</w:t>
      </w:r>
    </w:p>
    <w:p w14:paraId="639FA1D9" w14:textId="57825E4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(2007). "Record of Decision: Colorado River Interim Guidelines for Lower Basin Shortages and Coordinated Operations for Lakes Powell and Mead." U.S. Bureau of Reclamation. </w:t>
      </w:r>
      <w:hyperlink r:id="rId37" w:history="1">
        <w:r w:rsidRPr="0076048A">
          <w:rPr>
            <w:rStyle w:val="Hyperlink"/>
            <w:rFonts w:asciiTheme="majorBidi" w:hAnsiTheme="majorBidi" w:cstheme="majorBidi"/>
            <w:sz w:val="24"/>
            <w:szCs w:val="24"/>
          </w:rPr>
          <w:t>https://www.usbr.gov/lc/region/programs/strategies/RecordofDecision.pdf</w:t>
        </w:r>
      </w:hyperlink>
      <w:r w:rsidRPr="0076048A">
        <w:rPr>
          <w:rFonts w:asciiTheme="majorBidi" w:hAnsiTheme="majorBidi" w:cstheme="majorBidi"/>
          <w:sz w:val="24"/>
          <w:szCs w:val="24"/>
        </w:rPr>
        <w:t>.</w:t>
      </w:r>
    </w:p>
    <w:p w14:paraId="68DA8423" w14:textId="2FEE84A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(2019). "Agreement Concerning Colorado River Drought Contingency Management and Operations." U.S. Bureau of Reclamation, Washington, DC. </w:t>
      </w:r>
      <w:hyperlink r:id="rId38" w:history="1">
        <w:r w:rsidRPr="0076048A">
          <w:rPr>
            <w:rStyle w:val="Hyperlink"/>
            <w:rFonts w:asciiTheme="majorBidi" w:hAnsiTheme="majorBidi" w:cstheme="majorBidi"/>
            <w:sz w:val="24"/>
            <w:szCs w:val="24"/>
          </w:rPr>
          <w:t>https://www.usbr.gov/dcp/finaldocs.html</w:t>
        </w:r>
      </w:hyperlink>
      <w:r w:rsidRPr="0076048A">
        <w:rPr>
          <w:rFonts w:asciiTheme="majorBidi" w:hAnsiTheme="majorBidi" w:cstheme="majorBidi"/>
          <w:sz w:val="24"/>
          <w:szCs w:val="24"/>
        </w:rPr>
        <w:t>.</w:t>
      </w:r>
    </w:p>
    <w:p w14:paraId="5AD91EDD" w14:textId="259B9EC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(2021a). "Boulder Canyon Operations Office - Program and Activities: Water Accounting Reports." U.S. Bureau of Reclamation. </w:t>
      </w:r>
      <w:hyperlink r:id="rId39" w:history="1">
        <w:r w:rsidRPr="0076048A">
          <w:rPr>
            <w:rStyle w:val="Hyperlink"/>
            <w:rFonts w:asciiTheme="majorBidi" w:hAnsiTheme="majorBidi" w:cstheme="majorBidi"/>
            <w:sz w:val="24"/>
            <w:szCs w:val="24"/>
          </w:rPr>
          <w:t>https://www.usbr.gov/lc/region/g4000/wtracct.html</w:t>
        </w:r>
      </w:hyperlink>
      <w:r w:rsidRPr="0076048A">
        <w:rPr>
          <w:rFonts w:asciiTheme="majorBidi" w:hAnsiTheme="majorBidi" w:cstheme="majorBidi"/>
          <w:sz w:val="24"/>
          <w:szCs w:val="24"/>
        </w:rPr>
        <w:t>.</w:t>
      </w:r>
    </w:p>
    <w:p w14:paraId="4F784031" w14:textId="42BC6C6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(2021b). "Pilot System Conservation Program." U.S. Bureau of Reclamation, </w:t>
      </w:r>
      <w:hyperlink r:id="rId40" w:history="1">
        <w:r w:rsidRPr="0076048A">
          <w:rPr>
            <w:rStyle w:val="Hyperlink"/>
            <w:rFonts w:asciiTheme="majorBidi" w:hAnsiTheme="majorBidi" w:cstheme="majorBidi"/>
            <w:sz w:val="24"/>
            <w:szCs w:val="24"/>
          </w:rPr>
          <w:t>https://www.usbr.gov/lc/region/programs/PilotSysConsProg/pilotsystem.html</w:t>
        </w:r>
      </w:hyperlink>
      <w:r w:rsidRPr="0076048A">
        <w:rPr>
          <w:rFonts w:asciiTheme="majorBidi" w:hAnsiTheme="majorBidi" w:cstheme="majorBidi"/>
          <w:sz w:val="24"/>
          <w:szCs w:val="24"/>
        </w:rPr>
        <w:t xml:space="preserve"> [Accessed on: October 14, 2021].</w:t>
      </w:r>
    </w:p>
    <w:p w14:paraId="73CDB7AD" w14:textId="3BFF140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Wakhungu, M. J., Abdel-Mottaleb, N., Wells, E. C., and Zhang, Q. (2021). "Geospatial Vulnerability Framework for Identifying Water Infrastructure Inequalities." </w:t>
      </w:r>
      <w:r w:rsidRPr="0076048A">
        <w:rPr>
          <w:rFonts w:asciiTheme="majorBidi" w:hAnsiTheme="majorBidi" w:cstheme="majorBidi"/>
          <w:i/>
          <w:sz w:val="24"/>
          <w:szCs w:val="24"/>
        </w:rPr>
        <w:t>Journal of Environmental Engineering</w:t>
      </w:r>
      <w:r w:rsidRPr="0076048A">
        <w:rPr>
          <w:rFonts w:asciiTheme="majorBidi" w:hAnsiTheme="majorBidi" w:cstheme="majorBidi"/>
          <w:sz w:val="24"/>
          <w:szCs w:val="24"/>
        </w:rPr>
        <w:t xml:space="preserve">, 147(9), 04021034. </w:t>
      </w:r>
      <w:hyperlink r:id="rId41" w:history="1">
        <w:r w:rsidRPr="0076048A">
          <w:rPr>
            <w:rStyle w:val="Hyperlink"/>
            <w:rFonts w:asciiTheme="majorBidi" w:hAnsiTheme="majorBidi" w:cstheme="majorBidi"/>
            <w:sz w:val="24"/>
            <w:szCs w:val="24"/>
          </w:rPr>
          <w:t>https://doi.org/10.1061/(ASCE)EE.1943-7870.0001903</w:t>
        </w:r>
      </w:hyperlink>
      <w:r w:rsidRPr="0076048A">
        <w:rPr>
          <w:rFonts w:asciiTheme="majorBidi" w:hAnsiTheme="majorBidi" w:cstheme="majorBidi"/>
          <w:sz w:val="24"/>
          <w:szCs w:val="24"/>
        </w:rPr>
        <w:t>.</w:t>
      </w:r>
    </w:p>
    <w:p w14:paraId="3FA13BED" w14:textId="7277BA99"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Wang, J., and Schmidt, J. C. (2020). "Stream flow and Losses of the Colorado River in the Southern Colorado Plateau." Center for Colorado River Studies, Utah State University, Logan, Utah. </w:t>
      </w:r>
      <w:hyperlink r:id="rId42" w:history="1">
        <w:r w:rsidRPr="0076048A">
          <w:rPr>
            <w:rStyle w:val="Hyperlink"/>
            <w:rFonts w:asciiTheme="majorBidi" w:hAnsiTheme="majorBidi" w:cstheme="majorBidi"/>
            <w:sz w:val="24"/>
            <w:szCs w:val="24"/>
          </w:rPr>
          <w:t>https://qcnr.usu.edu/coloradoriver/files/WhitePaper5.pdf</w:t>
        </w:r>
      </w:hyperlink>
      <w:r w:rsidRPr="0076048A">
        <w:rPr>
          <w:rFonts w:asciiTheme="majorBidi" w:hAnsiTheme="majorBidi" w:cstheme="majorBidi"/>
          <w:sz w:val="24"/>
          <w:szCs w:val="24"/>
        </w:rPr>
        <w:t>.</w:t>
      </w:r>
    </w:p>
    <w:p w14:paraId="1CB33AC9" w14:textId="138DBD3B" w:rsidR="002C3CB6" w:rsidRDefault="00FC409E" w:rsidP="0076048A">
      <w:pPr>
        <w:ind w:left="360" w:hanging="360"/>
        <w:rPr>
          <w:rFonts w:asciiTheme="majorBidi" w:hAnsiTheme="majorBidi" w:cstheme="majorBidi"/>
          <w:sz w:val="24"/>
          <w:szCs w:val="24"/>
        </w:rPr>
      </w:pPr>
      <w:r w:rsidRPr="0076048A">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7407F2DC"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45D01" w14:textId="77777777" w:rsidR="008E099B" w:rsidRDefault="008E099B" w:rsidP="00DA318A">
      <w:pPr>
        <w:spacing w:after="0" w:line="240" w:lineRule="auto"/>
      </w:pPr>
      <w:r>
        <w:separator/>
      </w:r>
    </w:p>
  </w:endnote>
  <w:endnote w:type="continuationSeparator" w:id="0">
    <w:p w14:paraId="02DFF8B3" w14:textId="77777777" w:rsidR="008E099B" w:rsidRDefault="008E099B"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0A838" w14:textId="77777777" w:rsidR="008E099B" w:rsidRDefault="008E099B" w:rsidP="00DA318A">
      <w:pPr>
        <w:spacing w:after="0" w:line="240" w:lineRule="auto"/>
      </w:pPr>
      <w:r>
        <w:separator/>
      </w:r>
    </w:p>
  </w:footnote>
  <w:footnote w:type="continuationSeparator" w:id="0">
    <w:p w14:paraId="2E0782AC" w14:textId="77777777" w:rsidR="008E099B" w:rsidRDefault="008E099B"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11&lt;/item&gt;&lt;item&gt;3012&lt;/item&gt;&lt;item&gt;3013&lt;/item&gt;&lt;item&gt;3014&lt;/item&gt;&lt;item&gt;3015&lt;/item&gt;&lt;item&gt;3016&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4020A"/>
    <w:rsid w:val="00040931"/>
    <w:rsid w:val="00060003"/>
    <w:rsid w:val="00063F48"/>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58F8"/>
    <w:rsid w:val="003E7658"/>
    <w:rsid w:val="003F0990"/>
    <w:rsid w:val="003F1C21"/>
    <w:rsid w:val="003F37B0"/>
    <w:rsid w:val="003F6ED7"/>
    <w:rsid w:val="00404156"/>
    <w:rsid w:val="0040579D"/>
    <w:rsid w:val="00405911"/>
    <w:rsid w:val="0040703F"/>
    <w:rsid w:val="004105E6"/>
    <w:rsid w:val="004203BC"/>
    <w:rsid w:val="00426E78"/>
    <w:rsid w:val="00427B49"/>
    <w:rsid w:val="00430A27"/>
    <w:rsid w:val="00431A10"/>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099B"/>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7AA9"/>
    <w:rsid w:val="00AA56C3"/>
    <w:rsid w:val="00AB1F85"/>
    <w:rsid w:val="00AB3EDE"/>
    <w:rsid w:val="00AC2B82"/>
    <w:rsid w:val="00AC4216"/>
    <w:rsid w:val="00AD3968"/>
    <w:rsid w:val="00AD4565"/>
    <w:rsid w:val="00AD7232"/>
    <w:rsid w:val="00AF24FF"/>
    <w:rsid w:val="00AF3588"/>
    <w:rsid w:val="00AF3684"/>
    <w:rsid w:val="00AF5A89"/>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41FA"/>
    <w:rsid w:val="00CC01A9"/>
    <w:rsid w:val="00CC15C6"/>
    <w:rsid w:val="00CC6F54"/>
    <w:rsid w:val="00CC78AE"/>
    <w:rsid w:val="00CD2967"/>
    <w:rsid w:val="00D00BC5"/>
    <w:rsid w:val="00D15156"/>
    <w:rsid w:val="00D22527"/>
    <w:rsid w:val="00D30114"/>
    <w:rsid w:val="00D31512"/>
    <w:rsid w:val="00D34110"/>
    <w:rsid w:val="00D3622A"/>
    <w:rsid w:val="00D403E2"/>
    <w:rsid w:val="00D44AEA"/>
    <w:rsid w:val="00D44B19"/>
    <w:rsid w:val="00D46331"/>
    <w:rsid w:val="00D51C70"/>
    <w:rsid w:val="00D55EE8"/>
    <w:rsid w:val="00D6462D"/>
    <w:rsid w:val="00D65D5C"/>
    <w:rsid w:val="00D65DEE"/>
    <w:rsid w:val="00D6615B"/>
    <w:rsid w:val="00D6739E"/>
    <w:rsid w:val="00D70F6C"/>
    <w:rsid w:val="00D71D5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hyperlink" Target="https://doi.org/10.1038/s41893-022-00866-z" TargetMode="External"/><Relationship Id="rId39" Type="http://schemas.openxmlformats.org/officeDocument/2006/relationships/hyperlink" Target="https://www.usbr.gov/lc/region/g4000/wtracct.html" TargetMode="External"/><Relationship Id="rId21" Type="http://schemas.openxmlformats.org/officeDocument/2006/relationships/hyperlink" Target="https://www.azcentral.com/story/opinion/op-ed/joannaallhands/2021/11/08/lake-mead-could-get-extra-water-from-lower-basin-annually/6306601001/" TargetMode="External"/><Relationship Id="rId34" Type="http://schemas.openxmlformats.org/officeDocument/2006/relationships/hyperlink" Target="https://doi.org/10.1002/wcc.565" TargetMode="External"/><Relationship Id="rId42" Type="http://schemas.openxmlformats.org/officeDocument/2006/relationships/hyperlink" Target="https://qcnr.usu.edu/coloradoriver/files/WhitePaper5.pdf"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mailto:david.rosenberg@usu.edu" TargetMode="External"/><Relationship Id="rId29" Type="http://schemas.openxmlformats.org/officeDocument/2006/relationships/hyperlink" Target="https://doi.org/10.1002/wat2.1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s://doi.org/10.1061/JWRMD5.WRENG-5893" TargetMode="External"/><Relationship Id="rId37" Type="http://schemas.openxmlformats.org/officeDocument/2006/relationships/hyperlink" Target="https://www.usbr.gov/lc/region/programs/strategies/RecordofDecision.pdf" TargetMode="External"/><Relationship Id="rId40" Type="http://schemas.openxmlformats.org/officeDocument/2006/relationships/hyperlink" Target="https://www.usbr.gov/lc/region/programs/PilotSysConsProg/pilotsystem.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knowyourwaternews.com/ics-three-little-letters-that-signify-big-contributions-and-new-flexibility/" TargetMode="External"/><Relationship Id="rId28" Type="http://schemas.openxmlformats.org/officeDocument/2006/relationships/hyperlink" Target="https://doi.org/10.1126/science.abc2755" TargetMode="External"/><Relationship Id="rId36" Type="http://schemas.openxmlformats.org/officeDocument/2006/relationships/hyperlink" Target="http://www.ucrcommission.com/wp-content/uploads/2024/06/2023_SCPP_Report_June2024.pdf"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s://doi.org/10.1061/(ASCE)WR.1943-5452.00015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s://www.snwa.com/assets/pdf/lower-basin-alternative-letter-march2024.pdf"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s://www.mdpi.com/1660-4601/19/3/1419" TargetMode="External"/><Relationship Id="rId35" Type="http://schemas.openxmlformats.org/officeDocument/2006/relationships/hyperlink" Target="http://www.ucrcommission.com/RepDoc/SCPPDocuments/2018__SCPP_FUBRD.pdf" TargetMode="External"/><Relationship Id="rId43" Type="http://schemas.openxmlformats.org/officeDocument/2006/relationships/header" Target="header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github.com/dzeke/ColoradoRiverCollaborate/tree/main/LakeMeadWaterConservationProgramAnalysis" TargetMode="External"/><Relationship Id="rId25" Type="http://schemas.openxmlformats.org/officeDocument/2006/relationships/hyperlink" Target="https://doi.org/10.1061/(ASCE)WR.1943-5452.0001184" TargetMode="External"/><Relationship Id="rId33" Type="http://schemas.openxmlformats.org/officeDocument/2006/relationships/hyperlink" Target="https://heinonline.org/HOL/Page?collection=journals&amp;handle=hein.journals/sdlp22&amp;id=44&amp;men_tab=srchresults" TargetMode="External"/><Relationship Id="rId38" Type="http://schemas.openxmlformats.org/officeDocument/2006/relationships/hyperlink" Target="https://www.usbr.gov/dcp/finaldocs.html" TargetMode="External"/><Relationship Id="rId20" Type="http://schemas.openxmlformats.org/officeDocument/2006/relationships/hyperlink" Target="https://doi.org/10.1002/aws2.1274" TargetMode="External"/><Relationship Id="rId41" Type="http://schemas.openxmlformats.org/officeDocument/2006/relationships/hyperlink" Target="https://doi.org/10.1061/(ASCE)EE.1943-7870.0001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14</Pages>
  <Words>6256</Words>
  <Characters>35661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55</cp:revision>
  <dcterms:created xsi:type="dcterms:W3CDTF">2021-09-10T17:00:00Z</dcterms:created>
  <dcterms:modified xsi:type="dcterms:W3CDTF">2024-08-16T22:59:00Z</dcterms:modified>
</cp:coreProperties>
</file>